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18" w:rsidRDefault="002E4A93">
      <w:r>
        <w:rPr>
          <w:noProof/>
        </w:rPr>
        <w:pict>
          <v:rect id="_x0000_s1030" style="position:absolute;margin-left:0;margin-top:0;width:13in;height:93.75pt;z-index:251664384;mso-width-percent:1000;mso-wrap-distance-top:7.2pt;mso-wrap-distance-bottom:7.2pt;mso-position-horizontal-relative:page;mso-position-vertical-relative:page;mso-width-percent:1000" o:allowincell="f" fillcolor="#4f81bd [3204]" stroked="f">
            <v:shadow type="perspective" color="#9bbb59 [3206]" origin="-.5,-.5" offset="-6pt,-6pt" matrix=".75,,,.75"/>
            <v:textbox style="mso-next-textbox:#_x0000_s1030" inset="4in,54pt,1in,0">
              <w:txbxContent>
                <w:p w:rsidR="002E4A93" w:rsidRPr="00271825" w:rsidRDefault="002E4A93" w:rsidP="002E4A93">
                  <w:pPr>
                    <w:rPr>
                      <w:b/>
                      <w:color w:val="FFFF00"/>
                      <w:sz w:val="30"/>
                    </w:rPr>
                  </w:pPr>
                  <w:r w:rsidRPr="00271825">
                    <w:rPr>
                      <w:b/>
                      <w:color w:val="FFFF00"/>
                      <w:sz w:val="30"/>
                    </w:rPr>
                    <w:t>ASEAN AGREEMENTS AND INITIATIVES TOWARDS THE ASEAN ECONOMIC COMMUNITY</w:t>
                  </w:r>
                </w:p>
                <w:p w:rsidR="002E4A93" w:rsidRPr="00271825" w:rsidRDefault="002E4A93" w:rsidP="002E4A93">
                  <w:pPr>
                    <w:rPr>
                      <w:color w:val="FFFFFF" w:themeColor="background1"/>
                      <w:szCs w:val="28"/>
                    </w:rPr>
                  </w:pPr>
                  <w:proofErr w:type="gramStart"/>
                  <w:r>
                    <w:rPr>
                      <w:color w:val="FFFFFF" w:themeColor="background1"/>
                      <w:szCs w:val="28"/>
                    </w:rPr>
                    <w:t>C</w:t>
                  </w:r>
                  <w:r w:rsidRPr="00271825">
                    <w:rPr>
                      <w:color w:val="FFFFFF" w:themeColor="background1"/>
                      <w:szCs w:val="28"/>
                    </w:rPr>
                    <w:t>ategorized according to the four pillars of the ASEAN Economic Community (AEC).</w:t>
                  </w:r>
                  <w:proofErr w:type="gramEnd"/>
                  <w:r w:rsidRPr="00271825">
                    <w:rPr>
                      <w:color w:val="FFFFFF" w:themeColor="background1"/>
                      <w:szCs w:val="28"/>
                    </w:rPr>
                    <w:t xml:space="preserve">  </w:t>
                  </w:r>
                </w:p>
              </w:txbxContent>
            </v:textbox>
            <w10:wrap type="square" anchorx="page" anchory="page"/>
          </v:rect>
        </w:pict>
      </w:r>
    </w:p>
    <w:tbl>
      <w:tblPr>
        <w:tblStyle w:val="LightShading-Accent1"/>
        <w:tblW w:w="0" w:type="auto"/>
        <w:shd w:val="clear" w:color="auto" w:fill="D3DFEE"/>
        <w:tblLook w:val="04A0"/>
      </w:tblPr>
      <w:tblGrid>
        <w:gridCol w:w="3585"/>
        <w:gridCol w:w="3586"/>
        <w:gridCol w:w="3585"/>
        <w:gridCol w:w="3586"/>
        <w:gridCol w:w="3586"/>
      </w:tblGrid>
      <w:tr w:rsidR="003C664A" w:rsidTr="00BE2350">
        <w:trPr>
          <w:cnfStyle w:val="100000000000"/>
        </w:trPr>
        <w:tc>
          <w:tcPr>
            <w:cnfStyle w:val="001000000000"/>
            <w:tcW w:w="17928" w:type="dxa"/>
            <w:gridSpan w:val="5"/>
            <w:tcBorders>
              <w:bottom w:val="single" w:sz="4" w:space="0" w:color="0070C0"/>
            </w:tcBorders>
            <w:shd w:val="clear" w:color="auto" w:fill="FFFF00"/>
          </w:tcPr>
          <w:p w:rsidR="007A6432" w:rsidRPr="005314E4" w:rsidRDefault="007A6432" w:rsidP="005314E4">
            <w:pPr>
              <w:spacing w:line="276" w:lineRule="auto"/>
              <w:jc w:val="center"/>
              <w:rPr>
                <w:b w:val="0"/>
                <w:bCs w:val="0"/>
                <w:color w:val="002060"/>
              </w:rPr>
            </w:pPr>
            <w:r w:rsidRPr="005314E4">
              <w:rPr>
                <w:color w:val="002060"/>
              </w:rPr>
              <w:t>Single Market and Production Base</w:t>
            </w:r>
          </w:p>
        </w:tc>
      </w:tr>
      <w:tr w:rsidR="00BE2350" w:rsidTr="00BE2350">
        <w:trPr>
          <w:cnfStyle w:val="000000100000"/>
        </w:trPr>
        <w:tc>
          <w:tcPr>
            <w:cnfStyle w:val="001000000000"/>
            <w:tcW w:w="3585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D3DFEE"/>
          </w:tcPr>
          <w:p w:rsidR="007A6432" w:rsidRPr="00A97E8A" w:rsidRDefault="007A6432" w:rsidP="007A164B">
            <w:pPr>
              <w:spacing w:line="276" w:lineRule="auto"/>
              <w:rPr>
                <w:b w:val="0"/>
              </w:rPr>
            </w:pPr>
            <w:r w:rsidRPr="00A97E8A">
              <w:rPr>
                <w:b w:val="0"/>
              </w:rPr>
              <w:t xml:space="preserve">Goods </w:t>
            </w:r>
          </w:p>
        </w:tc>
        <w:tc>
          <w:tcPr>
            <w:tcW w:w="3586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D3DFEE"/>
          </w:tcPr>
          <w:p w:rsidR="007A6432" w:rsidRDefault="007A6432" w:rsidP="007A164B">
            <w:pPr>
              <w:spacing w:line="276" w:lineRule="auto"/>
              <w:cnfStyle w:val="000000100000"/>
            </w:pPr>
            <w:r>
              <w:t>Services</w:t>
            </w:r>
          </w:p>
        </w:tc>
        <w:tc>
          <w:tcPr>
            <w:tcW w:w="3585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D3DFEE"/>
          </w:tcPr>
          <w:p w:rsidR="007A6432" w:rsidRDefault="007A6432" w:rsidP="007A164B">
            <w:pPr>
              <w:spacing w:line="276" w:lineRule="auto"/>
              <w:cnfStyle w:val="000000100000"/>
            </w:pPr>
            <w:r>
              <w:t xml:space="preserve">Investments </w:t>
            </w:r>
          </w:p>
        </w:tc>
        <w:tc>
          <w:tcPr>
            <w:tcW w:w="3586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D3DFEE"/>
          </w:tcPr>
          <w:p w:rsidR="007A6432" w:rsidRDefault="007A6432" w:rsidP="007A164B">
            <w:pPr>
              <w:spacing w:line="276" w:lineRule="auto"/>
              <w:cnfStyle w:val="000000100000"/>
            </w:pPr>
            <w:r>
              <w:t>Capital</w:t>
            </w:r>
          </w:p>
        </w:tc>
        <w:tc>
          <w:tcPr>
            <w:tcW w:w="3586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D3DFEE"/>
          </w:tcPr>
          <w:p w:rsidR="007A6432" w:rsidRDefault="00271825" w:rsidP="007A164B">
            <w:pPr>
              <w:spacing w:line="276" w:lineRule="auto"/>
              <w:cnfStyle w:val="000000100000"/>
            </w:pPr>
            <w:r>
              <w:t>Skills</w:t>
            </w:r>
          </w:p>
        </w:tc>
      </w:tr>
      <w:tr w:rsidR="00BE2350" w:rsidRPr="009D2C7B" w:rsidTr="00BE2350">
        <w:tc>
          <w:tcPr>
            <w:cnfStyle w:val="001000000000"/>
            <w:tcW w:w="3585" w:type="dxa"/>
            <w:tcBorders>
              <w:top w:val="single" w:sz="4" w:space="0" w:color="0070C0"/>
              <w:bottom w:val="single" w:sz="8" w:space="0" w:color="BFBFBF" w:themeColor="background1" w:themeShade="BF"/>
            </w:tcBorders>
            <w:shd w:val="clear" w:color="auto" w:fill="auto"/>
          </w:tcPr>
          <w:p w:rsidR="007A6432" w:rsidRPr="009D2C7B" w:rsidRDefault="007A6432" w:rsidP="00A5381D">
            <w:pPr>
              <w:spacing w:line="276" w:lineRule="auto"/>
              <w:rPr>
                <w:b w:val="0"/>
                <w:color w:val="404040" w:themeColor="text1" w:themeTint="BF"/>
              </w:rPr>
            </w:pPr>
            <w:r w:rsidRPr="009D2C7B">
              <w:rPr>
                <w:b w:val="0"/>
                <w:color w:val="404040" w:themeColor="text1" w:themeTint="BF"/>
              </w:rPr>
              <w:t>ASEAN Trade in Goods Agreement</w:t>
            </w:r>
          </w:p>
        </w:tc>
        <w:tc>
          <w:tcPr>
            <w:tcW w:w="3586" w:type="dxa"/>
            <w:tcBorders>
              <w:top w:val="single" w:sz="4" w:space="0" w:color="0070C0"/>
              <w:bottom w:val="single" w:sz="8" w:space="0" w:color="BFBFBF" w:themeColor="background1" w:themeShade="BF"/>
            </w:tcBorders>
            <w:shd w:val="clear" w:color="auto" w:fill="auto"/>
          </w:tcPr>
          <w:p w:rsidR="007A6432" w:rsidRPr="009D2C7B" w:rsidRDefault="007A6432" w:rsidP="00A5381D">
            <w:pPr>
              <w:spacing w:line="276" w:lineRule="auto"/>
              <w:cnfStyle w:val="000000000000"/>
              <w:rPr>
                <w:color w:val="404040" w:themeColor="text1" w:themeTint="BF"/>
              </w:rPr>
            </w:pPr>
            <w:r w:rsidRPr="009D2C7B">
              <w:rPr>
                <w:color w:val="404040" w:themeColor="text1" w:themeTint="BF"/>
              </w:rPr>
              <w:t xml:space="preserve">ASEAN Framework Agreement </w:t>
            </w:r>
            <w:r w:rsidR="00BE2350">
              <w:rPr>
                <w:color w:val="404040" w:themeColor="text1" w:themeTint="BF"/>
              </w:rPr>
              <w:t xml:space="preserve">               </w:t>
            </w:r>
            <w:r w:rsidRPr="009D2C7B">
              <w:rPr>
                <w:color w:val="404040" w:themeColor="text1" w:themeTint="BF"/>
              </w:rPr>
              <w:t>on Services</w:t>
            </w:r>
          </w:p>
        </w:tc>
        <w:tc>
          <w:tcPr>
            <w:tcW w:w="3585" w:type="dxa"/>
            <w:tcBorders>
              <w:top w:val="single" w:sz="4" w:space="0" w:color="0070C0"/>
              <w:bottom w:val="single" w:sz="8" w:space="0" w:color="BFBFBF" w:themeColor="background1" w:themeShade="BF"/>
            </w:tcBorders>
          </w:tcPr>
          <w:p w:rsidR="007A6432" w:rsidRDefault="007A6432" w:rsidP="00A5381D">
            <w:pPr>
              <w:spacing w:line="276" w:lineRule="auto"/>
              <w:cnfStyle w:val="00000000000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ASEAN </w:t>
            </w:r>
            <w:r w:rsidR="00C946C4">
              <w:rPr>
                <w:color w:val="404040" w:themeColor="text1" w:themeTint="BF"/>
              </w:rPr>
              <w:t>C</w:t>
            </w:r>
            <w:r w:rsidRPr="009D2C7B">
              <w:rPr>
                <w:color w:val="404040" w:themeColor="text1" w:themeTint="BF"/>
              </w:rPr>
              <w:t>omprehensive Investment Agreement</w:t>
            </w:r>
          </w:p>
        </w:tc>
        <w:tc>
          <w:tcPr>
            <w:tcW w:w="3586" w:type="dxa"/>
            <w:tcBorders>
              <w:top w:val="single" w:sz="4" w:space="0" w:color="0070C0"/>
              <w:bottom w:val="single" w:sz="8" w:space="0" w:color="BFBFBF" w:themeColor="background1" w:themeShade="BF"/>
            </w:tcBorders>
            <w:shd w:val="clear" w:color="auto" w:fill="auto"/>
          </w:tcPr>
          <w:p w:rsidR="007A6432" w:rsidRDefault="005F3E36" w:rsidP="00A5381D">
            <w:pPr>
              <w:spacing w:line="276" w:lineRule="auto"/>
              <w:cnfStyle w:val="00000000000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Financial Integration in the AEC</w:t>
            </w:r>
            <w:r w:rsidR="008D7EBC">
              <w:rPr>
                <w:color w:val="404040" w:themeColor="text1" w:themeTint="BF"/>
              </w:rPr>
              <w:t>*</w:t>
            </w:r>
          </w:p>
        </w:tc>
        <w:tc>
          <w:tcPr>
            <w:tcW w:w="3586" w:type="dxa"/>
            <w:tcBorders>
              <w:top w:val="single" w:sz="4" w:space="0" w:color="0070C0"/>
              <w:bottom w:val="single" w:sz="8" w:space="0" w:color="BFBFBF" w:themeColor="background1" w:themeShade="BF"/>
            </w:tcBorders>
            <w:shd w:val="clear" w:color="auto" w:fill="auto"/>
          </w:tcPr>
          <w:p w:rsidR="007A6432" w:rsidRPr="009D2C7B" w:rsidRDefault="007A6432" w:rsidP="00A5381D">
            <w:pPr>
              <w:spacing w:line="276" w:lineRule="auto"/>
              <w:cnfStyle w:val="00000000000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ASEAN Agreement on the Movement of Natural Persons</w:t>
            </w:r>
          </w:p>
        </w:tc>
      </w:tr>
      <w:tr w:rsidR="00BE2350" w:rsidRPr="009D2C7B" w:rsidTr="00BE2350">
        <w:trPr>
          <w:cnfStyle w:val="000000100000"/>
        </w:trPr>
        <w:tc>
          <w:tcPr>
            <w:cnfStyle w:val="001000000000"/>
            <w:tcW w:w="358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7A6432" w:rsidRPr="009D2C7B" w:rsidRDefault="007A6432" w:rsidP="00A5381D">
            <w:pPr>
              <w:spacing w:line="276" w:lineRule="auto"/>
              <w:rPr>
                <w:b w:val="0"/>
                <w:color w:val="404040" w:themeColor="text1" w:themeTint="BF"/>
              </w:rPr>
            </w:pPr>
            <w:r w:rsidRPr="009D2C7B">
              <w:rPr>
                <w:b w:val="0"/>
                <w:color w:val="404040" w:themeColor="text1" w:themeTint="BF"/>
              </w:rPr>
              <w:t>(ATIGA)</w:t>
            </w:r>
          </w:p>
        </w:tc>
        <w:tc>
          <w:tcPr>
            <w:tcW w:w="358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7A6432" w:rsidRPr="009D2C7B" w:rsidRDefault="007A6432" w:rsidP="00A5381D">
            <w:pPr>
              <w:spacing w:line="276" w:lineRule="auto"/>
              <w:cnfStyle w:val="000000100000"/>
              <w:rPr>
                <w:color w:val="404040" w:themeColor="text1" w:themeTint="BF"/>
              </w:rPr>
            </w:pPr>
            <w:r w:rsidRPr="009D2C7B">
              <w:rPr>
                <w:color w:val="404040" w:themeColor="text1" w:themeTint="BF"/>
              </w:rPr>
              <w:t>(AFAS)</w:t>
            </w:r>
          </w:p>
        </w:tc>
        <w:tc>
          <w:tcPr>
            <w:tcW w:w="358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7A6432" w:rsidRPr="009D2C7B" w:rsidRDefault="007A6432" w:rsidP="00A5381D">
            <w:pPr>
              <w:spacing w:line="276" w:lineRule="auto"/>
              <w:cnfStyle w:val="000000100000"/>
              <w:rPr>
                <w:color w:val="404040" w:themeColor="text1" w:themeTint="BF"/>
              </w:rPr>
            </w:pPr>
            <w:r w:rsidRPr="009D2C7B">
              <w:rPr>
                <w:color w:val="404040" w:themeColor="text1" w:themeTint="BF"/>
              </w:rPr>
              <w:t>(ACIA)</w:t>
            </w:r>
          </w:p>
        </w:tc>
        <w:tc>
          <w:tcPr>
            <w:tcW w:w="358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7A6432" w:rsidRPr="009D2C7B" w:rsidRDefault="007A6432" w:rsidP="00A5381D">
            <w:pPr>
              <w:spacing w:line="276" w:lineRule="auto"/>
              <w:cnfStyle w:val="000000100000"/>
              <w:rPr>
                <w:color w:val="404040" w:themeColor="text1" w:themeTint="BF"/>
              </w:rPr>
            </w:pPr>
          </w:p>
        </w:tc>
        <w:tc>
          <w:tcPr>
            <w:tcW w:w="358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7A6432" w:rsidRPr="009D2C7B" w:rsidRDefault="007A6432" w:rsidP="00A5381D">
            <w:pPr>
              <w:spacing w:line="276" w:lineRule="auto"/>
              <w:cnfStyle w:val="00000010000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(AAMNP)</w:t>
            </w:r>
          </w:p>
        </w:tc>
      </w:tr>
      <w:tr w:rsidR="00BE2350" w:rsidRPr="009D2C7B" w:rsidTr="00BE2350">
        <w:tc>
          <w:tcPr>
            <w:cnfStyle w:val="001000000000"/>
            <w:tcW w:w="358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107B8C" w:rsidRPr="00033BA9" w:rsidRDefault="00033BA9" w:rsidP="00A5381D">
            <w:pPr>
              <w:spacing w:line="276" w:lineRule="auto"/>
              <w:rPr>
                <w:b w:val="0"/>
                <w:color w:val="404040" w:themeColor="text1" w:themeTint="BF"/>
              </w:rPr>
            </w:pPr>
            <w:r w:rsidRPr="00033BA9">
              <w:rPr>
                <w:b w:val="0"/>
                <w:color w:val="404040" w:themeColor="text1" w:themeTint="BF"/>
              </w:rPr>
              <w:t>ASEAN Single Window</w:t>
            </w:r>
            <w:r w:rsidR="005F3E36">
              <w:rPr>
                <w:b w:val="0"/>
                <w:color w:val="404040" w:themeColor="text1" w:themeTint="BF"/>
              </w:rPr>
              <w:t>*</w:t>
            </w:r>
          </w:p>
        </w:tc>
        <w:tc>
          <w:tcPr>
            <w:tcW w:w="358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107B8C" w:rsidRPr="009D2C7B" w:rsidRDefault="005F3E36" w:rsidP="00A5381D">
            <w:pPr>
              <w:spacing w:line="276" w:lineRule="auto"/>
              <w:cnfStyle w:val="00000000000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Mutual Recognition Arrangements </w:t>
            </w:r>
            <w:r w:rsidR="00BE2350">
              <w:rPr>
                <w:color w:val="404040" w:themeColor="text1" w:themeTint="BF"/>
              </w:rPr>
              <w:t xml:space="preserve">          </w:t>
            </w:r>
            <w:r>
              <w:rPr>
                <w:color w:val="404040" w:themeColor="text1" w:themeTint="BF"/>
              </w:rPr>
              <w:t>in Services</w:t>
            </w:r>
          </w:p>
        </w:tc>
        <w:tc>
          <w:tcPr>
            <w:tcW w:w="358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107B8C" w:rsidRPr="009D2C7B" w:rsidRDefault="00107B8C" w:rsidP="00A5381D">
            <w:pPr>
              <w:spacing w:line="276" w:lineRule="auto"/>
              <w:cnfStyle w:val="000000000000"/>
              <w:rPr>
                <w:color w:val="404040" w:themeColor="text1" w:themeTint="BF"/>
              </w:rPr>
            </w:pPr>
          </w:p>
        </w:tc>
        <w:tc>
          <w:tcPr>
            <w:tcW w:w="358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107B8C" w:rsidRPr="009D2C7B" w:rsidRDefault="00107B8C" w:rsidP="00A5381D">
            <w:pPr>
              <w:spacing w:line="276" w:lineRule="auto"/>
              <w:cnfStyle w:val="000000000000"/>
              <w:rPr>
                <w:color w:val="404040" w:themeColor="text1" w:themeTint="BF"/>
              </w:rPr>
            </w:pPr>
          </w:p>
        </w:tc>
        <w:tc>
          <w:tcPr>
            <w:tcW w:w="358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107B8C" w:rsidRDefault="00107B8C" w:rsidP="00A5381D">
            <w:pPr>
              <w:spacing w:line="276" w:lineRule="auto"/>
              <w:cnfStyle w:val="000000000000"/>
              <w:rPr>
                <w:color w:val="404040" w:themeColor="text1" w:themeTint="BF"/>
              </w:rPr>
            </w:pPr>
          </w:p>
        </w:tc>
      </w:tr>
      <w:tr w:rsidR="00BE2350" w:rsidRPr="009D2C7B" w:rsidTr="00BE2350">
        <w:trPr>
          <w:cnfStyle w:val="000000100000"/>
        </w:trPr>
        <w:tc>
          <w:tcPr>
            <w:cnfStyle w:val="001000000000"/>
            <w:tcW w:w="358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033BA9" w:rsidRPr="00033BA9" w:rsidRDefault="00033BA9" w:rsidP="00A5381D">
            <w:pPr>
              <w:spacing w:line="276" w:lineRule="auto"/>
              <w:rPr>
                <w:b w:val="0"/>
                <w:color w:val="404040" w:themeColor="text1" w:themeTint="BF"/>
              </w:rPr>
            </w:pPr>
            <w:r>
              <w:rPr>
                <w:b w:val="0"/>
                <w:color w:val="404040" w:themeColor="text1" w:themeTint="BF"/>
              </w:rPr>
              <w:t>(ASW)</w:t>
            </w:r>
          </w:p>
        </w:tc>
        <w:tc>
          <w:tcPr>
            <w:tcW w:w="358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033BA9" w:rsidRDefault="005F3E36" w:rsidP="00A5381D">
            <w:pPr>
              <w:spacing w:line="276" w:lineRule="auto"/>
              <w:cnfStyle w:val="00000010000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(MRAs)</w:t>
            </w:r>
          </w:p>
        </w:tc>
        <w:tc>
          <w:tcPr>
            <w:tcW w:w="358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033BA9" w:rsidRPr="009D2C7B" w:rsidRDefault="00033BA9" w:rsidP="00A5381D">
            <w:pPr>
              <w:spacing w:line="276" w:lineRule="auto"/>
              <w:cnfStyle w:val="000000100000"/>
              <w:rPr>
                <w:color w:val="404040" w:themeColor="text1" w:themeTint="BF"/>
              </w:rPr>
            </w:pPr>
          </w:p>
        </w:tc>
        <w:tc>
          <w:tcPr>
            <w:tcW w:w="358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033BA9" w:rsidRPr="009D2C7B" w:rsidRDefault="00033BA9" w:rsidP="00A5381D">
            <w:pPr>
              <w:spacing w:line="276" w:lineRule="auto"/>
              <w:cnfStyle w:val="000000100000"/>
              <w:rPr>
                <w:color w:val="404040" w:themeColor="text1" w:themeTint="BF"/>
              </w:rPr>
            </w:pPr>
          </w:p>
        </w:tc>
        <w:tc>
          <w:tcPr>
            <w:tcW w:w="358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033BA9" w:rsidRDefault="00033BA9" w:rsidP="00A5381D">
            <w:pPr>
              <w:spacing w:line="276" w:lineRule="auto"/>
              <w:cnfStyle w:val="000000100000"/>
              <w:rPr>
                <w:color w:val="404040" w:themeColor="text1" w:themeTint="BF"/>
              </w:rPr>
            </w:pPr>
          </w:p>
        </w:tc>
      </w:tr>
      <w:tr w:rsidR="00A37B63" w:rsidRPr="009D2C7B" w:rsidTr="00BE2350">
        <w:tc>
          <w:tcPr>
            <w:cnfStyle w:val="001000000000"/>
            <w:tcW w:w="358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A37B63" w:rsidRDefault="00A37B63" w:rsidP="00A5381D">
            <w:pPr>
              <w:spacing w:line="276" w:lineRule="auto"/>
              <w:rPr>
                <w:b w:val="0"/>
                <w:color w:val="404040" w:themeColor="text1" w:themeTint="BF"/>
              </w:rPr>
            </w:pPr>
            <w:r>
              <w:rPr>
                <w:b w:val="0"/>
                <w:color w:val="404040" w:themeColor="text1" w:themeTint="BF"/>
              </w:rPr>
              <w:t>ASEAN Cooperation in Food, Agriculture, and Forestry</w:t>
            </w:r>
            <w:r w:rsidR="002B603B">
              <w:rPr>
                <w:b w:val="0"/>
                <w:color w:val="404040" w:themeColor="text1" w:themeTint="BF"/>
              </w:rPr>
              <w:t>*</w:t>
            </w:r>
          </w:p>
        </w:tc>
        <w:tc>
          <w:tcPr>
            <w:tcW w:w="358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A37B63" w:rsidRDefault="00A37B63" w:rsidP="00A5381D">
            <w:pPr>
              <w:spacing w:line="276" w:lineRule="auto"/>
              <w:cnfStyle w:val="000000000000"/>
              <w:rPr>
                <w:color w:val="404040" w:themeColor="text1" w:themeTint="BF"/>
              </w:rPr>
            </w:pPr>
          </w:p>
        </w:tc>
        <w:tc>
          <w:tcPr>
            <w:tcW w:w="358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A37B63" w:rsidRPr="009D2C7B" w:rsidRDefault="00A37B63" w:rsidP="00A5381D">
            <w:pPr>
              <w:spacing w:line="276" w:lineRule="auto"/>
              <w:cnfStyle w:val="000000000000"/>
              <w:rPr>
                <w:color w:val="404040" w:themeColor="text1" w:themeTint="BF"/>
              </w:rPr>
            </w:pPr>
          </w:p>
        </w:tc>
        <w:tc>
          <w:tcPr>
            <w:tcW w:w="358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A37B63" w:rsidRPr="009D2C7B" w:rsidRDefault="00A37B63" w:rsidP="00A5381D">
            <w:pPr>
              <w:spacing w:line="276" w:lineRule="auto"/>
              <w:cnfStyle w:val="000000000000"/>
              <w:rPr>
                <w:color w:val="404040" w:themeColor="text1" w:themeTint="BF"/>
              </w:rPr>
            </w:pPr>
          </w:p>
        </w:tc>
        <w:tc>
          <w:tcPr>
            <w:tcW w:w="358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A37B63" w:rsidRDefault="00A37B63" w:rsidP="00A5381D">
            <w:pPr>
              <w:spacing w:line="276" w:lineRule="auto"/>
              <w:cnfStyle w:val="000000000000"/>
              <w:rPr>
                <w:color w:val="404040" w:themeColor="text1" w:themeTint="BF"/>
              </w:rPr>
            </w:pPr>
          </w:p>
        </w:tc>
      </w:tr>
      <w:tr w:rsidR="00A37B63" w:rsidRPr="009D2C7B" w:rsidTr="00BE2350">
        <w:trPr>
          <w:cnfStyle w:val="000000100000"/>
        </w:trPr>
        <w:tc>
          <w:tcPr>
            <w:cnfStyle w:val="001000000000"/>
            <w:tcW w:w="358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A37B63" w:rsidRDefault="00A37B63" w:rsidP="00A5381D">
            <w:pPr>
              <w:spacing w:line="276" w:lineRule="auto"/>
              <w:rPr>
                <w:b w:val="0"/>
                <w:color w:val="404040" w:themeColor="text1" w:themeTint="BF"/>
              </w:rPr>
            </w:pPr>
            <w:r>
              <w:rPr>
                <w:b w:val="0"/>
                <w:color w:val="404040" w:themeColor="text1" w:themeTint="BF"/>
              </w:rPr>
              <w:t>(FAF)</w:t>
            </w:r>
          </w:p>
        </w:tc>
        <w:tc>
          <w:tcPr>
            <w:tcW w:w="358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A37B63" w:rsidRDefault="00A37B63" w:rsidP="00A5381D">
            <w:pPr>
              <w:spacing w:line="276" w:lineRule="auto"/>
              <w:cnfStyle w:val="000000100000"/>
              <w:rPr>
                <w:color w:val="404040" w:themeColor="text1" w:themeTint="BF"/>
              </w:rPr>
            </w:pPr>
          </w:p>
        </w:tc>
        <w:tc>
          <w:tcPr>
            <w:tcW w:w="358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A37B63" w:rsidRPr="009D2C7B" w:rsidRDefault="00A37B63" w:rsidP="00A5381D">
            <w:pPr>
              <w:spacing w:line="276" w:lineRule="auto"/>
              <w:cnfStyle w:val="000000100000"/>
              <w:rPr>
                <w:color w:val="404040" w:themeColor="text1" w:themeTint="BF"/>
              </w:rPr>
            </w:pPr>
          </w:p>
        </w:tc>
        <w:tc>
          <w:tcPr>
            <w:tcW w:w="358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A37B63" w:rsidRPr="009D2C7B" w:rsidRDefault="00A37B63" w:rsidP="00A5381D">
            <w:pPr>
              <w:spacing w:line="276" w:lineRule="auto"/>
              <w:cnfStyle w:val="000000100000"/>
              <w:rPr>
                <w:color w:val="404040" w:themeColor="text1" w:themeTint="BF"/>
              </w:rPr>
            </w:pPr>
          </w:p>
        </w:tc>
        <w:tc>
          <w:tcPr>
            <w:tcW w:w="358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A37B63" w:rsidRDefault="00A37B63" w:rsidP="00A5381D">
            <w:pPr>
              <w:spacing w:line="276" w:lineRule="auto"/>
              <w:cnfStyle w:val="000000100000"/>
              <w:rPr>
                <w:color w:val="404040" w:themeColor="text1" w:themeTint="BF"/>
              </w:rPr>
            </w:pPr>
          </w:p>
        </w:tc>
      </w:tr>
      <w:tr w:rsidR="00985FF3" w:rsidRPr="009D2C7B" w:rsidTr="00BE2350">
        <w:tc>
          <w:tcPr>
            <w:cnfStyle w:val="001000000000"/>
            <w:tcW w:w="358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985FF3" w:rsidRDefault="00985FF3" w:rsidP="00A5381D">
            <w:pPr>
              <w:spacing w:line="276" w:lineRule="auto"/>
              <w:rPr>
                <w:b w:val="0"/>
                <w:color w:val="404040" w:themeColor="text1" w:themeTint="BF"/>
              </w:rPr>
            </w:pPr>
            <w:r>
              <w:rPr>
                <w:b w:val="0"/>
                <w:color w:val="404040" w:themeColor="text1" w:themeTint="BF"/>
              </w:rPr>
              <w:t>ASEAN Integrated Food Security Framework</w:t>
            </w:r>
            <w:r w:rsidR="002B603B">
              <w:rPr>
                <w:b w:val="0"/>
                <w:color w:val="404040" w:themeColor="text1" w:themeTint="BF"/>
              </w:rPr>
              <w:t>*</w:t>
            </w:r>
          </w:p>
        </w:tc>
        <w:tc>
          <w:tcPr>
            <w:tcW w:w="358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985FF3" w:rsidRDefault="00985FF3" w:rsidP="00A5381D">
            <w:pPr>
              <w:spacing w:line="276" w:lineRule="auto"/>
              <w:cnfStyle w:val="000000000000"/>
              <w:rPr>
                <w:color w:val="404040" w:themeColor="text1" w:themeTint="BF"/>
              </w:rPr>
            </w:pPr>
          </w:p>
        </w:tc>
        <w:tc>
          <w:tcPr>
            <w:tcW w:w="358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985FF3" w:rsidRPr="009D2C7B" w:rsidRDefault="00985FF3" w:rsidP="00A5381D">
            <w:pPr>
              <w:spacing w:line="276" w:lineRule="auto"/>
              <w:cnfStyle w:val="000000000000"/>
              <w:rPr>
                <w:color w:val="404040" w:themeColor="text1" w:themeTint="BF"/>
              </w:rPr>
            </w:pPr>
          </w:p>
        </w:tc>
        <w:tc>
          <w:tcPr>
            <w:tcW w:w="358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985FF3" w:rsidRPr="009D2C7B" w:rsidRDefault="00985FF3" w:rsidP="00A5381D">
            <w:pPr>
              <w:spacing w:line="276" w:lineRule="auto"/>
              <w:cnfStyle w:val="000000000000"/>
              <w:rPr>
                <w:color w:val="404040" w:themeColor="text1" w:themeTint="BF"/>
              </w:rPr>
            </w:pPr>
          </w:p>
        </w:tc>
        <w:tc>
          <w:tcPr>
            <w:tcW w:w="358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985FF3" w:rsidRDefault="00985FF3" w:rsidP="00A5381D">
            <w:pPr>
              <w:spacing w:line="276" w:lineRule="auto"/>
              <w:cnfStyle w:val="000000000000"/>
              <w:rPr>
                <w:color w:val="404040" w:themeColor="text1" w:themeTint="BF"/>
              </w:rPr>
            </w:pPr>
          </w:p>
        </w:tc>
      </w:tr>
      <w:tr w:rsidR="00985FF3" w:rsidRPr="009D2C7B" w:rsidTr="00BE2350">
        <w:trPr>
          <w:cnfStyle w:val="000000100000"/>
        </w:trPr>
        <w:tc>
          <w:tcPr>
            <w:cnfStyle w:val="001000000000"/>
            <w:tcW w:w="358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985FF3" w:rsidRDefault="00985FF3" w:rsidP="00A5381D">
            <w:pPr>
              <w:spacing w:line="276" w:lineRule="auto"/>
              <w:rPr>
                <w:b w:val="0"/>
                <w:color w:val="404040" w:themeColor="text1" w:themeTint="BF"/>
              </w:rPr>
            </w:pPr>
            <w:r>
              <w:rPr>
                <w:b w:val="0"/>
                <w:color w:val="404040" w:themeColor="text1" w:themeTint="BF"/>
              </w:rPr>
              <w:t>(AIFS)</w:t>
            </w:r>
          </w:p>
        </w:tc>
        <w:tc>
          <w:tcPr>
            <w:tcW w:w="358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985FF3" w:rsidRDefault="00985FF3" w:rsidP="00A5381D">
            <w:pPr>
              <w:spacing w:line="276" w:lineRule="auto"/>
              <w:cnfStyle w:val="000000100000"/>
              <w:rPr>
                <w:color w:val="404040" w:themeColor="text1" w:themeTint="BF"/>
              </w:rPr>
            </w:pPr>
          </w:p>
        </w:tc>
        <w:tc>
          <w:tcPr>
            <w:tcW w:w="358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985FF3" w:rsidRPr="009D2C7B" w:rsidRDefault="00985FF3" w:rsidP="00A5381D">
            <w:pPr>
              <w:spacing w:line="276" w:lineRule="auto"/>
              <w:cnfStyle w:val="000000100000"/>
              <w:rPr>
                <w:color w:val="404040" w:themeColor="text1" w:themeTint="BF"/>
              </w:rPr>
            </w:pPr>
          </w:p>
        </w:tc>
        <w:tc>
          <w:tcPr>
            <w:tcW w:w="358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985FF3" w:rsidRPr="009D2C7B" w:rsidRDefault="00985FF3" w:rsidP="00A5381D">
            <w:pPr>
              <w:spacing w:line="276" w:lineRule="auto"/>
              <w:cnfStyle w:val="000000100000"/>
              <w:rPr>
                <w:color w:val="404040" w:themeColor="text1" w:themeTint="BF"/>
              </w:rPr>
            </w:pPr>
          </w:p>
        </w:tc>
        <w:tc>
          <w:tcPr>
            <w:tcW w:w="358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985FF3" w:rsidRDefault="00985FF3" w:rsidP="00A5381D">
            <w:pPr>
              <w:spacing w:line="276" w:lineRule="auto"/>
              <w:cnfStyle w:val="000000100000"/>
              <w:rPr>
                <w:color w:val="404040" w:themeColor="text1" w:themeTint="BF"/>
              </w:rPr>
            </w:pPr>
          </w:p>
        </w:tc>
      </w:tr>
    </w:tbl>
    <w:p w:rsidR="00DF5F23" w:rsidRPr="00DF5F23" w:rsidRDefault="00DF5F23" w:rsidP="00A65FD9">
      <w:pPr>
        <w:spacing w:line="276" w:lineRule="auto"/>
        <w:rPr>
          <w:i/>
          <w:sz w:val="16"/>
        </w:rPr>
      </w:pPr>
    </w:p>
    <w:p w:rsidR="00A37B63" w:rsidRDefault="00A37B63" w:rsidP="00A65FD9">
      <w:pPr>
        <w:spacing w:line="276" w:lineRule="auto"/>
        <w:rPr>
          <w:i/>
          <w:sz w:val="16"/>
        </w:rPr>
      </w:pPr>
    </w:p>
    <w:tbl>
      <w:tblPr>
        <w:tblStyle w:val="LightShading-Accent1"/>
        <w:tblW w:w="17928" w:type="dxa"/>
        <w:shd w:val="clear" w:color="auto" w:fill="D3DFEE"/>
        <w:tblLook w:val="04A0"/>
      </w:tblPr>
      <w:tblGrid>
        <w:gridCol w:w="8964"/>
        <w:gridCol w:w="8964"/>
      </w:tblGrid>
      <w:tr w:rsidR="00A65FD9" w:rsidTr="00BA12D5">
        <w:trPr>
          <w:cnfStyle w:val="100000000000"/>
        </w:trPr>
        <w:tc>
          <w:tcPr>
            <w:cnfStyle w:val="001000000000"/>
            <w:tcW w:w="17928" w:type="dxa"/>
            <w:gridSpan w:val="2"/>
            <w:tcBorders>
              <w:bottom w:val="single" w:sz="8" w:space="0" w:color="365F91" w:themeColor="accent1" w:themeShade="BF"/>
            </w:tcBorders>
            <w:shd w:val="clear" w:color="auto" w:fill="FFFF00"/>
          </w:tcPr>
          <w:p w:rsidR="00A65FD9" w:rsidRPr="005314E4" w:rsidRDefault="00A65FD9" w:rsidP="005314E4">
            <w:pPr>
              <w:spacing w:line="276" w:lineRule="auto"/>
              <w:jc w:val="center"/>
              <w:rPr>
                <w:color w:val="002060"/>
              </w:rPr>
            </w:pPr>
            <w:r w:rsidRPr="005314E4">
              <w:rPr>
                <w:color w:val="002060"/>
              </w:rPr>
              <w:t>Equitable Economic Development</w:t>
            </w:r>
          </w:p>
        </w:tc>
      </w:tr>
      <w:tr w:rsidR="00644AFB" w:rsidRPr="00956885" w:rsidTr="006F7E17">
        <w:trPr>
          <w:cnfStyle w:val="000000100000"/>
        </w:trPr>
        <w:tc>
          <w:tcPr>
            <w:cnfStyle w:val="001000000000"/>
            <w:tcW w:w="8964" w:type="dxa"/>
            <w:tcBorders>
              <w:top w:val="single" w:sz="8" w:space="0" w:color="365F91" w:themeColor="accent1" w:themeShade="BF"/>
              <w:bottom w:val="single" w:sz="8" w:space="0" w:color="365F91" w:themeColor="accent1" w:themeShade="BF"/>
            </w:tcBorders>
            <w:shd w:val="clear" w:color="auto" w:fill="D3DFEE"/>
          </w:tcPr>
          <w:p w:rsidR="00644AFB" w:rsidRPr="00956885" w:rsidRDefault="00644AFB" w:rsidP="00C00944">
            <w:pPr>
              <w:spacing w:line="276" w:lineRule="auto"/>
              <w:jc w:val="center"/>
            </w:pPr>
            <w:r>
              <w:rPr>
                <w:b w:val="0"/>
              </w:rPr>
              <w:t>SME Development</w:t>
            </w:r>
          </w:p>
        </w:tc>
        <w:tc>
          <w:tcPr>
            <w:tcW w:w="8964" w:type="dxa"/>
            <w:tcBorders>
              <w:top w:val="single" w:sz="8" w:space="0" w:color="365F91" w:themeColor="accent1" w:themeShade="BF"/>
              <w:bottom w:val="single" w:sz="8" w:space="0" w:color="365F91" w:themeColor="accent1" w:themeShade="BF"/>
            </w:tcBorders>
            <w:shd w:val="clear" w:color="auto" w:fill="D3DFEE"/>
          </w:tcPr>
          <w:p w:rsidR="00644AFB" w:rsidRPr="00956885" w:rsidRDefault="00644AFB" w:rsidP="00C00944">
            <w:pPr>
              <w:spacing w:line="276" w:lineRule="auto"/>
              <w:jc w:val="center"/>
              <w:cnfStyle w:val="000000100000"/>
            </w:pPr>
            <w:r>
              <w:t>ASEAN Integration</w:t>
            </w:r>
          </w:p>
        </w:tc>
      </w:tr>
      <w:tr w:rsidR="005C3B76" w:rsidRPr="009D2C7B" w:rsidTr="00BA12D5">
        <w:tc>
          <w:tcPr>
            <w:cnfStyle w:val="001000000000"/>
            <w:tcW w:w="8964" w:type="dxa"/>
            <w:tcBorders>
              <w:top w:val="single" w:sz="8" w:space="0" w:color="365F91" w:themeColor="accent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5C3B76" w:rsidRPr="009D2C7B" w:rsidRDefault="005C3B76" w:rsidP="00C00944">
            <w:pPr>
              <w:spacing w:line="276" w:lineRule="auto"/>
              <w:jc w:val="center"/>
              <w:rPr>
                <w:b w:val="0"/>
                <w:color w:val="404040" w:themeColor="text1" w:themeTint="BF"/>
              </w:rPr>
            </w:pPr>
            <w:r>
              <w:rPr>
                <w:b w:val="0"/>
                <w:color w:val="404040" w:themeColor="text1" w:themeTint="BF"/>
              </w:rPr>
              <w:t xml:space="preserve">ASEAN Policy Blueprint for SME </w:t>
            </w:r>
            <w:r w:rsidR="008D7EBC">
              <w:rPr>
                <w:b w:val="0"/>
                <w:color w:val="404040" w:themeColor="text1" w:themeTint="BF"/>
              </w:rPr>
              <w:t>Development</w:t>
            </w:r>
            <w:r w:rsidR="00B4099A">
              <w:rPr>
                <w:b w:val="0"/>
                <w:color w:val="404040" w:themeColor="text1" w:themeTint="BF"/>
              </w:rPr>
              <w:t>*</w:t>
            </w:r>
          </w:p>
        </w:tc>
        <w:tc>
          <w:tcPr>
            <w:tcW w:w="8964" w:type="dxa"/>
            <w:tcBorders>
              <w:top w:val="single" w:sz="8" w:space="0" w:color="365F91" w:themeColor="accent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5C3B76" w:rsidRPr="009D2C7B" w:rsidRDefault="005C3B76" w:rsidP="00C00944">
            <w:pPr>
              <w:spacing w:line="276" w:lineRule="auto"/>
              <w:jc w:val="center"/>
              <w:cnfStyle w:val="00000000000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Initiatives for ASEAN Integration</w:t>
            </w:r>
            <w:r w:rsidR="0052485B">
              <w:rPr>
                <w:color w:val="404040" w:themeColor="text1" w:themeTint="BF"/>
              </w:rPr>
              <w:t xml:space="preserve"> and Narrowing the Development Gap</w:t>
            </w:r>
            <w:r w:rsidR="008D7EBC">
              <w:rPr>
                <w:color w:val="404040" w:themeColor="text1" w:themeTint="BF"/>
              </w:rPr>
              <w:t>*</w:t>
            </w:r>
          </w:p>
        </w:tc>
      </w:tr>
      <w:tr w:rsidR="00BA12D5" w:rsidRPr="009D2C7B" w:rsidTr="00BA12D5">
        <w:trPr>
          <w:cnfStyle w:val="000000100000"/>
        </w:trPr>
        <w:tc>
          <w:tcPr>
            <w:cnfStyle w:val="001000000000"/>
            <w:tcW w:w="896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BA12D5" w:rsidRPr="00BA12D5" w:rsidRDefault="00BA12D5" w:rsidP="00C00944">
            <w:pPr>
              <w:spacing w:line="276" w:lineRule="auto"/>
              <w:jc w:val="center"/>
              <w:rPr>
                <w:b w:val="0"/>
                <w:color w:val="404040" w:themeColor="text1" w:themeTint="BF"/>
              </w:rPr>
            </w:pPr>
            <w:r w:rsidRPr="00BA12D5">
              <w:rPr>
                <w:b w:val="0"/>
                <w:color w:val="404040" w:themeColor="text1" w:themeTint="BF"/>
              </w:rPr>
              <w:t>(SMEs)</w:t>
            </w:r>
          </w:p>
        </w:tc>
        <w:tc>
          <w:tcPr>
            <w:tcW w:w="896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BA12D5" w:rsidRDefault="00BA12D5" w:rsidP="00C00944">
            <w:pPr>
              <w:spacing w:line="276" w:lineRule="auto"/>
              <w:jc w:val="center"/>
              <w:cnfStyle w:val="00000010000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(IAI)</w:t>
            </w:r>
          </w:p>
        </w:tc>
      </w:tr>
    </w:tbl>
    <w:p w:rsidR="00A65FD9" w:rsidRDefault="00A65FD9" w:rsidP="00A65FD9">
      <w:pPr>
        <w:spacing w:line="276" w:lineRule="auto"/>
        <w:rPr>
          <w:i/>
          <w:sz w:val="34"/>
        </w:rPr>
      </w:pPr>
    </w:p>
    <w:tbl>
      <w:tblPr>
        <w:tblStyle w:val="LightShading-Accent1"/>
        <w:tblW w:w="0" w:type="auto"/>
        <w:shd w:val="clear" w:color="auto" w:fill="D3DFEE"/>
        <w:tblLook w:val="04A0"/>
      </w:tblPr>
      <w:tblGrid>
        <w:gridCol w:w="2808"/>
        <w:gridCol w:w="7806"/>
        <w:gridCol w:w="3657"/>
        <w:gridCol w:w="3657"/>
      </w:tblGrid>
      <w:tr w:rsidR="0024080B" w:rsidTr="00F07637">
        <w:trPr>
          <w:cnfStyle w:val="100000000000"/>
          <w:tblHeader/>
        </w:trPr>
        <w:tc>
          <w:tcPr>
            <w:cnfStyle w:val="001000000000"/>
            <w:tcW w:w="17928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FFF00"/>
          </w:tcPr>
          <w:p w:rsidR="0024080B" w:rsidRPr="005314E4" w:rsidRDefault="0024080B" w:rsidP="005314E4">
            <w:pPr>
              <w:spacing w:line="276" w:lineRule="auto"/>
              <w:jc w:val="center"/>
              <w:rPr>
                <w:color w:val="002060"/>
              </w:rPr>
            </w:pPr>
            <w:r w:rsidRPr="005314E4">
              <w:rPr>
                <w:color w:val="002060"/>
              </w:rPr>
              <w:t>Highly Competitive Economic Region</w:t>
            </w:r>
          </w:p>
        </w:tc>
      </w:tr>
      <w:tr w:rsidR="007C5FB1" w:rsidRPr="00956885" w:rsidTr="00F07637">
        <w:trPr>
          <w:cnfStyle w:val="100000000000"/>
          <w:tblHeader/>
        </w:trPr>
        <w:tc>
          <w:tcPr>
            <w:cnfStyle w:val="001000000000"/>
            <w:tcW w:w="28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3DFEE"/>
          </w:tcPr>
          <w:p w:rsidR="007C5FB1" w:rsidRPr="00956885" w:rsidRDefault="007C5FB1" w:rsidP="007C5FB1">
            <w:pPr>
              <w:spacing w:line="276" w:lineRule="auto"/>
              <w:jc w:val="center"/>
              <w:rPr>
                <w:b w:val="0"/>
              </w:rPr>
            </w:pPr>
            <w:r w:rsidRPr="00956885">
              <w:rPr>
                <w:b w:val="0"/>
              </w:rPr>
              <w:t>Intellectual Property</w:t>
            </w:r>
          </w:p>
        </w:tc>
        <w:tc>
          <w:tcPr>
            <w:tcW w:w="780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3DFEE"/>
          </w:tcPr>
          <w:p w:rsidR="007C5FB1" w:rsidRPr="00956885" w:rsidRDefault="007C5FB1" w:rsidP="007C5FB1">
            <w:pPr>
              <w:spacing w:line="276" w:lineRule="auto"/>
              <w:jc w:val="center"/>
              <w:cnfStyle w:val="100000000000"/>
            </w:pPr>
            <w:r w:rsidRPr="00956885">
              <w:t>Infrastructure Development</w:t>
            </w:r>
          </w:p>
        </w:tc>
        <w:tc>
          <w:tcPr>
            <w:tcW w:w="36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3DFEE"/>
          </w:tcPr>
          <w:p w:rsidR="007C5FB1" w:rsidRPr="00956885" w:rsidRDefault="007C5FB1" w:rsidP="007C5FB1">
            <w:pPr>
              <w:spacing w:line="276" w:lineRule="auto"/>
              <w:jc w:val="center"/>
              <w:cnfStyle w:val="100000000000"/>
            </w:pPr>
            <w:r>
              <w:t>Competition Policy</w:t>
            </w:r>
          </w:p>
        </w:tc>
        <w:tc>
          <w:tcPr>
            <w:tcW w:w="36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3DFEE"/>
          </w:tcPr>
          <w:p w:rsidR="007C5FB1" w:rsidRPr="00956885" w:rsidRDefault="007C5FB1" w:rsidP="007C5FB1">
            <w:pPr>
              <w:spacing w:line="276" w:lineRule="auto"/>
              <w:jc w:val="center"/>
              <w:cnfStyle w:val="100000000000"/>
            </w:pPr>
            <w:r>
              <w:t>Consumer Protection</w:t>
            </w:r>
          </w:p>
        </w:tc>
      </w:tr>
      <w:tr w:rsidR="007C5FB1" w:rsidRPr="009D2C7B" w:rsidTr="00F07637">
        <w:trPr>
          <w:cnfStyle w:val="000000100000"/>
        </w:trPr>
        <w:tc>
          <w:tcPr>
            <w:cnfStyle w:val="001000000000"/>
            <w:tcW w:w="28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7C5FB1" w:rsidRPr="009D2C7B" w:rsidRDefault="007C5FB1" w:rsidP="00A5381D">
            <w:pPr>
              <w:spacing w:line="276" w:lineRule="auto"/>
              <w:rPr>
                <w:b w:val="0"/>
                <w:color w:val="404040" w:themeColor="text1" w:themeTint="BF"/>
              </w:rPr>
            </w:pPr>
            <w:r>
              <w:rPr>
                <w:b w:val="0"/>
                <w:color w:val="404040" w:themeColor="text1" w:themeTint="BF"/>
              </w:rPr>
              <w:t>Intellectual Property Rights Action Plan*</w:t>
            </w:r>
          </w:p>
        </w:tc>
        <w:tc>
          <w:tcPr>
            <w:tcW w:w="780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7C5FB1" w:rsidRPr="009D2C7B" w:rsidRDefault="007C5FB1" w:rsidP="00A5381D">
            <w:pPr>
              <w:spacing w:line="276" w:lineRule="auto"/>
              <w:cnfStyle w:val="00000010000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ASEAN Framework Agreement on Facilitation of Goods in Transit</w:t>
            </w:r>
          </w:p>
          <w:p w:rsidR="007C5FB1" w:rsidRPr="009D2C7B" w:rsidRDefault="007C5FB1" w:rsidP="00A5381D">
            <w:pPr>
              <w:spacing w:line="276" w:lineRule="auto"/>
              <w:cnfStyle w:val="000000100000"/>
              <w:rPr>
                <w:color w:val="404040" w:themeColor="text1" w:themeTint="BF"/>
              </w:rPr>
            </w:pPr>
          </w:p>
        </w:tc>
        <w:tc>
          <w:tcPr>
            <w:tcW w:w="36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7C5FB1" w:rsidRDefault="00431399" w:rsidP="00A5381D">
            <w:pPr>
              <w:spacing w:line="276" w:lineRule="auto"/>
              <w:cnfStyle w:val="00000010000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ASEAN Experts Group on Competition*</w:t>
            </w:r>
          </w:p>
        </w:tc>
        <w:tc>
          <w:tcPr>
            <w:tcW w:w="36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7C5FB1" w:rsidRPr="009D2C7B" w:rsidRDefault="00A5381D" w:rsidP="00A5381D">
            <w:pPr>
              <w:spacing w:line="276" w:lineRule="auto"/>
              <w:cnfStyle w:val="00000010000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ASEAN Committee on Consumer Protection*</w:t>
            </w:r>
          </w:p>
        </w:tc>
      </w:tr>
      <w:tr w:rsidR="007C5FB1" w:rsidRPr="009D2C7B" w:rsidTr="00F07637">
        <w:tc>
          <w:tcPr>
            <w:cnfStyle w:val="001000000000"/>
            <w:tcW w:w="28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7C5FB1" w:rsidRPr="009D2C7B" w:rsidRDefault="00F07637" w:rsidP="00A5381D">
            <w:pPr>
              <w:spacing w:line="276" w:lineRule="auto"/>
              <w:rPr>
                <w:b w:val="0"/>
                <w:color w:val="404040" w:themeColor="text1" w:themeTint="BF"/>
              </w:rPr>
            </w:pPr>
            <w:r>
              <w:rPr>
                <w:b w:val="0"/>
                <w:color w:val="404040" w:themeColor="text1" w:themeTint="BF"/>
              </w:rPr>
              <w:t>(</w:t>
            </w:r>
            <w:r w:rsidR="001665F1">
              <w:rPr>
                <w:b w:val="0"/>
                <w:color w:val="404040" w:themeColor="text1" w:themeTint="BF"/>
              </w:rPr>
              <w:t>IPR</w:t>
            </w:r>
            <w:r>
              <w:rPr>
                <w:b w:val="0"/>
                <w:color w:val="404040" w:themeColor="text1" w:themeTint="BF"/>
              </w:rPr>
              <w:t>)</w:t>
            </w:r>
          </w:p>
        </w:tc>
        <w:tc>
          <w:tcPr>
            <w:tcW w:w="780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7C5FB1" w:rsidRPr="009D2C7B" w:rsidRDefault="007C5FB1" w:rsidP="00A5381D">
            <w:pPr>
              <w:spacing w:line="276" w:lineRule="auto"/>
              <w:cnfStyle w:val="000000000000"/>
              <w:rPr>
                <w:color w:val="404040" w:themeColor="text1" w:themeTint="BF"/>
              </w:rPr>
            </w:pPr>
            <w:r w:rsidRPr="009D2C7B">
              <w:rPr>
                <w:color w:val="404040" w:themeColor="text1" w:themeTint="BF"/>
              </w:rPr>
              <w:t>(</w:t>
            </w:r>
            <w:r>
              <w:rPr>
                <w:color w:val="404040" w:themeColor="text1" w:themeTint="BF"/>
              </w:rPr>
              <w:t>AFAFGIT</w:t>
            </w:r>
            <w:r w:rsidRPr="009D2C7B">
              <w:rPr>
                <w:color w:val="404040" w:themeColor="text1" w:themeTint="BF"/>
              </w:rPr>
              <w:t>)</w:t>
            </w:r>
          </w:p>
        </w:tc>
        <w:tc>
          <w:tcPr>
            <w:tcW w:w="36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7C5FB1" w:rsidRPr="009D2C7B" w:rsidRDefault="007C5FB1" w:rsidP="00A5381D">
            <w:pPr>
              <w:spacing w:line="276" w:lineRule="auto"/>
              <w:cnfStyle w:val="000000000000"/>
              <w:rPr>
                <w:color w:val="404040" w:themeColor="text1" w:themeTint="BF"/>
              </w:rPr>
            </w:pPr>
          </w:p>
        </w:tc>
        <w:tc>
          <w:tcPr>
            <w:tcW w:w="36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7C5FB1" w:rsidRPr="009D2C7B" w:rsidRDefault="007C5FB1" w:rsidP="00A5381D">
            <w:pPr>
              <w:spacing w:line="276" w:lineRule="auto"/>
              <w:cnfStyle w:val="000000000000"/>
              <w:rPr>
                <w:color w:val="404040" w:themeColor="text1" w:themeTint="BF"/>
              </w:rPr>
            </w:pPr>
          </w:p>
        </w:tc>
      </w:tr>
      <w:tr w:rsidR="007C5FB1" w:rsidRPr="009D2C7B" w:rsidTr="00F07637">
        <w:trPr>
          <w:cnfStyle w:val="000000100000"/>
        </w:trPr>
        <w:tc>
          <w:tcPr>
            <w:cnfStyle w:val="001000000000"/>
            <w:tcW w:w="28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7C5FB1" w:rsidRPr="009D2C7B" w:rsidRDefault="007C5FB1" w:rsidP="00A5381D">
            <w:pPr>
              <w:spacing w:line="276" w:lineRule="auto"/>
              <w:rPr>
                <w:b w:val="0"/>
                <w:color w:val="404040" w:themeColor="text1" w:themeTint="BF"/>
              </w:rPr>
            </w:pPr>
          </w:p>
        </w:tc>
        <w:tc>
          <w:tcPr>
            <w:tcW w:w="780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7C5FB1" w:rsidRPr="009D2C7B" w:rsidRDefault="007C5FB1" w:rsidP="00A5381D">
            <w:pPr>
              <w:spacing w:line="276" w:lineRule="auto"/>
              <w:cnfStyle w:val="00000010000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ASEAN Framework Agreement on Multimodal Transport</w:t>
            </w:r>
          </w:p>
        </w:tc>
        <w:tc>
          <w:tcPr>
            <w:tcW w:w="36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7C5FB1" w:rsidRPr="009D2C7B" w:rsidRDefault="007C5FB1" w:rsidP="00A5381D">
            <w:pPr>
              <w:spacing w:line="276" w:lineRule="auto"/>
              <w:cnfStyle w:val="000000100000"/>
              <w:rPr>
                <w:color w:val="404040" w:themeColor="text1" w:themeTint="BF"/>
              </w:rPr>
            </w:pPr>
          </w:p>
        </w:tc>
        <w:tc>
          <w:tcPr>
            <w:tcW w:w="36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7C5FB1" w:rsidRDefault="007C5FB1" w:rsidP="00A5381D">
            <w:pPr>
              <w:spacing w:line="276" w:lineRule="auto"/>
              <w:cnfStyle w:val="000000100000"/>
              <w:rPr>
                <w:color w:val="404040" w:themeColor="text1" w:themeTint="BF"/>
              </w:rPr>
            </w:pPr>
          </w:p>
        </w:tc>
      </w:tr>
      <w:tr w:rsidR="007C5FB1" w:rsidRPr="009D2C7B" w:rsidTr="00F07637">
        <w:tc>
          <w:tcPr>
            <w:cnfStyle w:val="001000000000"/>
            <w:tcW w:w="28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7C5FB1" w:rsidRPr="009D2C7B" w:rsidRDefault="007C5FB1" w:rsidP="00A5381D">
            <w:pPr>
              <w:spacing w:line="276" w:lineRule="auto"/>
              <w:rPr>
                <w:b w:val="0"/>
                <w:color w:val="404040" w:themeColor="text1" w:themeTint="BF"/>
              </w:rPr>
            </w:pPr>
          </w:p>
        </w:tc>
        <w:tc>
          <w:tcPr>
            <w:tcW w:w="780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7C5FB1" w:rsidRPr="009D2C7B" w:rsidRDefault="007C5FB1" w:rsidP="00A5381D">
            <w:pPr>
              <w:spacing w:line="276" w:lineRule="auto"/>
              <w:cnfStyle w:val="00000000000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(AFAMT)</w:t>
            </w:r>
          </w:p>
        </w:tc>
        <w:tc>
          <w:tcPr>
            <w:tcW w:w="36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7C5FB1" w:rsidRPr="009D2C7B" w:rsidRDefault="007C5FB1" w:rsidP="00A5381D">
            <w:pPr>
              <w:spacing w:line="276" w:lineRule="auto"/>
              <w:cnfStyle w:val="000000000000"/>
              <w:rPr>
                <w:color w:val="404040" w:themeColor="text1" w:themeTint="BF"/>
              </w:rPr>
            </w:pPr>
          </w:p>
        </w:tc>
        <w:tc>
          <w:tcPr>
            <w:tcW w:w="36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7C5FB1" w:rsidRDefault="007C5FB1" w:rsidP="00A5381D">
            <w:pPr>
              <w:spacing w:line="276" w:lineRule="auto"/>
              <w:cnfStyle w:val="000000000000"/>
              <w:rPr>
                <w:color w:val="404040" w:themeColor="text1" w:themeTint="BF"/>
              </w:rPr>
            </w:pPr>
          </w:p>
        </w:tc>
      </w:tr>
      <w:tr w:rsidR="007C5FB1" w:rsidRPr="009D2C7B" w:rsidTr="00F07637">
        <w:trPr>
          <w:cnfStyle w:val="000000100000"/>
        </w:trPr>
        <w:tc>
          <w:tcPr>
            <w:cnfStyle w:val="001000000000"/>
            <w:tcW w:w="28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7C5FB1" w:rsidRPr="009D2C7B" w:rsidRDefault="007C5FB1" w:rsidP="00A5381D">
            <w:pPr>
              <w:spacing w:line="276" w:lineRule="auto"/>
              <w:rPr>
                <w:b w:val="0"/>
                <w:color w:val="404040" w:themeColor="text1" w:themeTint="BF"/>
              </w:rPr>
            </w:pPr>
          </w:p>
        </w:tc>
        <w:tc>
          <w:tcPr>
            <w:tcW w:w="780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7C5FB1" w:rsidRPr="009D2C7B" w:rsidRDefault="007C5FB1" w:rsidP="00A5381D">
            <w:pPr>
              <w:spacing w:line="276" w:lineRule="auto"/>
              <w:cnfStyle w:val="00000010000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ASEAN Framework Agreement on the Facilitation of Inter-State Transport</w:t>
            </w:r>
          </w:p>
        </w:tc>
        <w:tc>
          <w:tcPr>
            <w:tcW w:w="36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7C5FB1" w:rsidRPr="009D2C7B" w:rsidRDefault="007C5FB1" w:rsidP="00A5381D">
            <w:pPr>
              <w:spacing w:line="276" w:lineRule="auto"/>
              <w:cnfStyle w:val="000000100000"/>
              <w:rPr>
                <w:color w:val="404040" w:themeColor="text1" w:themeTint="BF"/>
              </w:rPr>
            </w:pPr>
          </w:p>
        </w:tc>
        <w:tc>
          <w:tcPr>
            <w:tcW w:w="36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7C5FB1" w:rsidRDefault="007C5FB1" w:rsidP="00A5381D">
            <w:pPr>
              <w:spacing w:line="276" w:lineRule="auto"/>
              <w:cnfStyle w:val="000000100000"/>
              <w:rPr>
                <w:color w:val="404040" w:themeColor="text1" w:themeTint="BF"/>
              </w:rPr>
            </w:pPr>
          </w:p>
        </w:tc>
      </w:tr>
      <w:tr w:rsidR="007C5FB1" w:rsidRPr="009D2C7B" w:rsidTr="00F07637">
        <w:tc>
          <w:tcPr>
            <w:cnfStyle w:val="001000000000"/>
            <w:tcW w:w="28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7C5FB1" w:rsidRPr="009D2C7B" w:rsidRDefault="007C5FB1" w:rsidP="00A5381D">
            <w:pPr>
              <w:spacing w:line="276" w:lineRule="auto"/>
              <w:rPr>
                <w:b w:val="0"/>
                <w:color w:val="404040" w:themeColor="text1" w:themeTint="BF"/>
              </w:rPr>
            </w:pPr>
          </w:p>
        </w:tc>
        <w:tc>
          <w:tcPr>
            <w:tcW w:w="780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7C5FB1" w:rsidRPr="009D2C7B" w:rsidRDefault="007C5FB1" w:rsidP="00A5381D">
            <w:pPr>
              <w:spacing w:line="276" w:lineRule="auto"/>
              <w:cnfStyle w:val="00000000000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(FAIST)</w:t>
            </w:r>
          </w:p>
        </w:tc>
        <w:tc>
          <w:tcPr>
            <w:tcW w:w="36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7C5FB1" w:rsidRPr="009D2C7B" w:rsidRDefault="007C5FB1" w:rsidP="00A5381D">
            <w:pPr>
              <w:spacing w:line="276" w:lineRule="auto"/>
              <w:cnfStyle w:val="000000000000"/>
              <w:rPr>
                <w:color w:val="404040" w:themeColor="text1" w:themeTint="BF"/>
              </w:rPr>
            </w:pPr>
          </w:p>
        </w:tc>
        <w:tc>
          <w:tcPr>
            <w:tcW w:w="36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7C5FB1" w:rsidRDefault="007C5FB1" w:rsidP="00A5381D">
            <w:pPr>
              <w:spacing w:line="276" w:lineRule="auto"/>
              <w:cnfStyle w:val="000000000000"/>
              <w:rPr>
                <w:color w:val="404040" w:themeColor="text1" w:themeTint="BF"/>
              </w:rPr>
            </w:pPr>
          </w:p>
        </w:tc>
      </w:tr>
      <w:tr w:rsidR="0024080B" w:rsidRPr="009D2C7B" w:rsidTr="00F07637">
        <w:trPr>
          <w:cnfStyle w:val="000000100000"/>
        </w:trPr>
        <w:tc>
          <w:tcPr>
            <w:cnfStyle w:val="001000000000"/>
            <w:tcW w:w="28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4080B" w:rsidRPr="009D2C7B" w:rsidRDefault="0024080B" w:rsidP="00A5381D">
            <w:pPr>
              <w:spacing w:line="276" w:lineRule="auto"/>
              <w:rPr>
                <w:b w:val="0"/>
                <w:color w:val="404040" w:themeColor="text1" w:themeTint="BF"/>
              </w:rPr>
            </w:pPr>
          </w:p>
        </w:tc>
        <w:tc>
          <w:tcPr>
            <w:tcW w:w="780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7C5FB1" w:rsidRPr="005709CF" w:rsidRDefault="007C5FB1" w:rsidP="00A5381D">
            <w:pPr>
              <w:spacing w:line="276" w:lineRule="auto"/>
              <w:cnfStyle w:val="000000100000"/>
              <w:rPr>
                <w:color w:val="404040" w:themeColor="text1" w:themeTint="BF"/>
              </w:rPr>
            </w:pPr>
            <w:r w:rsidRPr="005709CF">
              <w:rPr>
                <w:color w:val="404040" w:themeColor="text1" w:themeTint="BF"/>
              </w:rPr>
              <w:t>ASEAN Multilateral Agreement on the Full Liberalization of Air Freight Services</w:t>
            </w:r>
          </w:p>
        </w:tc>
        <w:tc>
          <w:tcPr>
            <w:tcW w:w="36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4080B" w:rsidRPr="009D2C7B" w:rsidRDefault="0024080B" w:rsidP="00A5381D">
            <w:pPr>
              <w:spacing w:line="276" w:lineRule="auto"/>
              <w:cnfStyle w:val="000000100000"/>
              <w:rPr>
                <w:color w:val="404040" w:themeColor="text1" w:themeTint="BF"/>
              </w:rPr>
            </w:pPr>
          </w:p>
        </w:tc>
        <w:tc>
          <w:tcPr>
            <w:tcW w:w="36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24080B" w:rsidRPr="003E3680" w:rsidRDefault="0024080B" w:rsidP="00A5381D">
            <w:pPr>
              <w:pStyle w:val="ListParagraph"/>
              <w:spacing w:line="276" w:lineRule="auto"/>
              <w:ind w:left="360"/>
              <w:cnfStyle w:val="000000100000"/>
              <w:rPr>
                <w:color w:val="404040" w:themeColor="text1" w:themeTint="BF"/>
              </w:rPr>
            </w:pPr>
            <w:r w:rsidRPr="003E3680">
              <w:rPr>
                <w:color w:val="404040" w:themeColor="text1" w:themeTint="BF"/>
              </w:rPr>
              <w:t xml:space="preserve"> </w:t>
            </w:r>
          </w:p>
        </w:tc>
      </w:tr>
      <w:tr w:rsidR="005709CF" w:rsidRPr="009D2C7B" w:rsidTr="00F07637">
        <w:tc>
          <w:tcPr>
            <w:cnfStyle w:val="001000000000"/>
            <w:tcW w:w="28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5709CF" w:rsidRPr="009D2C7B" w:rsidRDefault="005709CF" w:rsidP="00A5381D">
            <w:pPr>
              <w:spacing w:line="276" w:lineRule="auto"/>
              <w:rPr>
                <w:b w:val="0"/>
                <w:color w:val="404040" w:themeColor="text1" w:themeTint="BF"/>
              </w:rPr>
            </w:pPr>
          </w:p>
        </w:tc>
        <w:tc>
          <w:tcPr>
            <w:tcW w:w="780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5709CF" w:rsidRPr="005709CF" w:rsidRDefault="005709CF" w:rsidP="00A5381D">
            <w:pPr>
              <w:spacing w:line="276" w:lineRule="auto"/>
              <w:cnfStyle w:val="00000000000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(MAFLAS)</w:t>
            </w:r>
          </w:p>
        </w:tc>
        <w:tc>
          <w:tcPr>
            <w:tcW w:w="36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5709CF" w:rsidRPr="009D2C7B" w:rsidRDefault="005709CF" w:rsidP="00A5381D">
            <w:pPr>
              <w:spacing w:line="276" w:lineRule="auto"/>
              <w:cnfStyle w:val="000000000000"/>
              <w:rPr>
                <w:color w:val="404040" w:themeColor="text1" w:themeTint="BF"/>
              </w:rPr>
            </w:pPr>
          </w:p>
        </w:tc>
        <w:tc>
          <w:tcPr>
            <w:tcW w:w="36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5709CF" w:rsidRPr="003E3680" w:rsidRDefault="005709CF" w:rsidP="00A5381D">
            <w:pPr>
              <w:pStyle w:val="ListParagraph"/>
              <w:spacing w:line="276" w:lineRule="auto"/>
              <w:ind w:left="360"/>
              <w:cnfStyle w:val="000000000000"/>
              <w:rPr>
                <w:color w:val="404040" w:themeColor="text1" w:themeTint="BF"/>
              </w:rPr>
            </w:pPr>
          </w:p>
        </w:tc>
      </w:tr>
      <w:tr w:rsidR="005709CF" w:rsidRPr="009D2C7B" w:rsidTr="00F07637">
        <w:trPr>
          <w:cnfStyle w:val="000000100000"/>
        </w:trPr>
        <w:tc>
          <w:tcPr>
            <w:cnfStyle w:val="001000000000"/>
            <w:tcW w:w="28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5709CF" w:rsidRPr="009D2C7B" w:rsidRDefault="005709CF" w:rsidP="00A5381D">
            <w:pPr>
              <w:spacing w:line="276" w:lineRule="auto"/>
              <w:rPr>
                <w:b w:val="0"/>
                <w:color w:val="404040" w:themeColor="text1" w:themeTint="BF"/>
              </w:rPr>
            </w:pPr>
          </w:p>
        </w:tc>
        <w:tc>
          <w:tcPr>
            <w:tcW w:w="780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5709CF" w:rsidRPr="005709CF" w:rsidRDefault="005709CF" w:rsidP="00A5381D">
            <w:pPr>
              <w:spacing w:line="276" w:lineRule="auto"/>
              <w:cnfStyle w:val="000000100000"/>
              <w:rPr>
                <w:color w:val="404040" w:themeColor="text1" w:themeTint="BF"/>
              </w:rPr>
            </w:pPr>
            <w:r w:rsidRPr="007C5FB1">
              <w:rPr>
                <w:color w:val="404040" w:themeColor="text1" w:themeTint="BF"/>
              </w:rPr>
              <w:t>ASEAN Multilateral Agreement on Air Services</w:t>
            </w:r>
          </w:p>
        </w:tc>
        <w:tc>
          <w:tcPr>
            <w:tcW w:w="36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5709CF" w:rsidRPr="009D2C7B" w:rsidRDefault="005709CF" w:rsidP="00A5381D">
            <w:pPr>
              <w:spacing w:line="276" w:lineRule="auto"/>
              <w:cnfStyle w:val="000000100000"/>
              <w:rPr>
                <w:color w:val="404040" w:themeColor="text1" w:themeTint="BF"/>
              </w:rPr>
            </w:pPr>
          </w:p>
        </w:tc>
        <w:tc>
          <w:tcPr>
            <w:tcW w:w="36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5709CF" w:rsidRPr="003E3680" w:rsidRDefault="005709CF" w:rsidP="00A5381D">
            <w:pPr>
              <w:pStyle w:val="ListParagraph"/>
              <w:spacing w:line="276" w:lineRule="auto"/>
              <w:ind w:left="360"/>
              <w:cnfStyle w:val="000000100000"/>
              <w:rPr>
                <w:color w:val="404040" w:themeColor="text1" w:themeTint="BF"/>
              </w:rPr>
            </w:pPr>
          </w:p>
        </w:tc>
      </w:tr>
      <w:tr w:rsidR="007C5FB1" w:rsidRPr="009D2C7B" w:rsidTr="00F07637">
        <w:tc>
          <w:tcPr>
            <w:cnfStyle w:val="001000000000"/>
            <w:tcW w:w="28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7C5FB1" w:rsidRPr="009D2C7B" w:rsidRDefault="007C5FB1" w:rsidP="00A5381D">
            <w:pPr>
              <w:spacing w:line="276" w:lineRule="auto"/>
              <w:rPr>
                <w:b w:val="0"/>
                <w:color w:val="404040" w:themeColor="text1" w:themeTint="BF"/>
              </w:rPr>
            </w:pPr>
          </w:p>
        </w:tc>
        <w:tc>
          <w:tcPr>
            <w:tcW w:w="780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7C5FB1" w:rsidRPr="009D2C7B" w:rsidRDefault="005709CF" w:rsidP="00A5381D">
            <w:pPr>
              <w:spacing w:line="276" w:lineRule="auto"/>
              <w:cnfStyle w:val="00000000000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(</w:t>
            </w:r>
            <w:r w:rsidR="007C5FB1">
              <w:rPr>
                <w:color w:val="404040" w:themeColor="text1" w:themeTint="BF"/>
              </w:rPr>
              <w:t>MAAS)</w:t>
            </w:r>
          </w:p>
        </w:tc>
        <w:tc>
          <w:tcPr>
            <w:tcW w:w="36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7C5FB1" w:rsidRPr="00FE7A98" w:rsidRDefault="007C5FB1" w:rsidP="00A5381D">
            <w:pPr>
              <w:spacing w:line="276" w:lineRule="auto"/>
              <w:cnfStyle w:val="000000000000"/>
              <w:rPr>
                <w:color w:val="404040" w:themeColor="text1" w:themeTint="BF"/>
              </w:rPr>
            </w:pPr>
          </w:p>
        </w:tc>
        <w:tc>
          <w:tcPr>
            <w:tcW w:w="36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7C5FB1" w:rsidRDefault="007C5FB1" w:rsidP="00A5381D">
            <w:pPr>
              <w:spacing w:line="276" w:lineRule="auto"/>
              <w:cnfStyle w:val="000000000000"/>
              <w:rPr>
                <w:color w:val="404040" w:themeColor="text1" w:themeTint="BF"/>
              </w:rPr>
            </w:pPr>
          </w:p>
        </w:tc>
      </w:tr>
      <w:tr w:rsidR="007C5FB1" w:rsidRPr="009D2C7B" w:rsidTr="00F07637">
        <w:trPr>
          <w:cnfStyle w:val="000000100000"/>
        </w:trPr>
        <w:tc>
          <w:tcPr>
            <w:cnfStyle w:val="001000000000"/>
            <w:tcW w:w="28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7C5FB1" w:rsidRPr="009D2C7B" w:rsidRDefault="007C5FB1" w:rsidP="00A5381D">
            <w:pPr>
              <w:spacing w:line="276" w:lineRule="auto"/>
              <w:rPr>
                <w:b w:val="0"/>
                <w:color w:val="404040" w:themeColor="text1" w:themeTint="BF"/>
              </w:rPr>
            </w:pPr>
          </w:p>
        </w:tc>
        <w:tc>
          <w:tcPr>
            <w:tcW w:w="780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7C5FB1" w:rsidRPr="005709CF" w:rsidRDefault="007C5FB1" w:rsidP="00A5381D">
            <w:pPr>
              <w:spacing w:line="276" w:lineRule="auto"/>
              <w:cnfStyle w:val="000000100000"/>
              <w:rPr>
                <w:color w:val="404040" w:themeColor="text1" w:themeTint="BF"/>
              </w:rPr>
            </w:pPr>
            <w:r w:rsidRPr="005709CF">
              <w:rPr>
                <w:color w:val="404040" w:themeColor="text1" w:themeTint="BF"/>
              </w:rPr>
              <w:t>ASEAN Power Grid</w:t>
            </w:r>
            <w:r w:rsidR="00A5381D">
              <w:rPr>
                <w:color w:val="404040" w:themeColor="text1" w:themeTint="BF"/>
              </w:rPr>
              <w:t>*</w:t>
            </w:r>
            <w:r w:rsidR="00F07637">
              <w:rPr>
                <w:color w:val="404040" w:themeColor="text1" w:themeTint="BF"/>
              </w:rPr>
              <w:t xml:space="preserve"> and Trans ASEAN Gas Pipeline* </w:t>
            </w:r>
          </w:p>
        </w:tc>
        <w:tc>
          <w:tcPr>
            <w:tcW w:w="36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7C5FB1" w:rsidRDefault="007C5FB1" w:rsidP="00A5381D">
            <w:pPr>
              <w:pStyle w:val="ListParagraph"/>
              <w:spacing w:line="276" w:lineRule="auto"/>
              <w:ind w:left="360"/>
              <w:cnfStyle w:val="000000100000"/>
              <w:rPr>
                <w:color w:val="404040" w:themeColor="text1" w:themeTint="BF"/>
              </w:rPr>
            </w:pPr>
          </w:p>
        </w:tc>
        <w:tc>
          <w:tcPr>
            <w:tcW w:w="36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7C5FB1" w:rsidRDefault="007C5FB1" w:rsidP="00A5381D">
            <w:pPr>
              <w:spacing w:line="276" w:lineRule="auto"/>
              <w:cnfStyle w:val="000000100000"/>
              <w:rPr>
                <w:color w:val="404040" w:themeColor="text1" w:themeTint="BF"/>
              </w:rPr>
            </w:pPr>
          </w:p>
        </w:tc>
      </w:tr>
      <w:tr w:rsidR="005709CF" w:rsidRPr="009D2C7B" w:rsidTr="00F07637">
        <w:tc>
          <w:tcPr>
            <w:cnfStyle w:val="001000000000"/>
            <w:tcW w:w="28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5709CF" w:rsidRPr="009D2C7B" w:rsidRDefault="005709CF" w:rsidP="00A5381D">
            <w:pPr>
              <w:spacing w:line="276" w:lineRule="auto"/>
              <w:rPr>
                <w:b w:val="0"/>
                <w:color w:val="404040" w:themeColor="text1" w:themeTint="BF"/>
              </w:rPr>
            </w:pPr>
          </w:p>
        </w:tc>
        <w:tc>
          <w:tcPr>
            <w:tcW w:w="780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5709CF" w:rsidRPr="005709CF" w:rsidRDefault="005709CF" w:rsidP="00A5381D">
            <w:pPr>
              <w:spacing w:line="276" w:lineRule="auto"/>
              <w:cnfStyle w:val="00000000000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(APN</w:t>
            </w:r>
            <w:r w:rsidR="00F07637">
              <w:rPr>
                <w:color w:val="404040" w:themeColor="text1" w:themeTint="BF"/>
              </w:rPr>
              <w:t xml:space="preserve"> and TAGP)</w:t>
            </w:r>
          </w:p>
        </w:tc>
        <w:tc>
          <w:tcPr>
            <w:tcW w:w="36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5709CF" w:rsidRDefault="005709CF" w:rsidP="00A5381D">
            <w:pPr>
              <w:pStyle w:val="ListParagraph"/>
              <w:spacing w:line="276" w:lineRule="auto"/>
              <w:ind w:left="360"/>
              <w:cnfStyle w:val="000000000000"/>
              <w:rPr>
                <w:color w:val="404040" w:themeColor="text1" w:themeTint="BF"/>
              </w:rPr>
            </w:pPr>
          </w:p>
        </w:tc>
        <w:tc>
          <w:tcPr>
            <w:tcW w:w="36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5709CF" w:rsidRDefault="005709CF" w:rsidP="00A5381D">
            <w:pPr>
              <w:spacing w:line="276" w:lineRule="auto"/>
              <w:cnfStyle w:val="000000000000"/>
              <w:rPr>
                <w:color w:val="404040" w:themeColor="text1" w:themeTint="BF"/>
              </w:rPr>
            </w:pPr>
          </w:p>
        </w:tc>
      </w:tr>
    </w:tbl>
    <w:p w:rsidR="0024080B" w:rsidRDefault="0024080B"/>
    <w:p w:rsidR="00850553" w:rsidRDefault="00850553"/>
    <w:tbl>
      <w:tblPr>
        <w:tblStyle w:val="LightShading-Accent1"/>
        <w:tblW w:w="0" w:type="auto"/>
        <w:shd w:val="clear" w:color="auto" w:fill="D3DFEE"/>
        <w:tblLook w:val="04A0"/>
      </w:tblPr>
      <w:tblGrid>
        <w:gridCol w:w="17928"/>
      </w:tblGrid>
      <w:tr w:rsidR="00850553" w:rsidTr="000E4C0B">
        <w:trPr>
          <w:cnfStyle w:val="100000000000"/>
        </w:trPr>
        <w:tc>
          <w:tcPr>
            <w:cnfStyle w:val="001000000000"/>
            <w:tcW w:w="17928" w:type="dxa"/>
            <w:tcBorders>
              <w:bottom w:val="single" w:sz="8" w:space="0" w:color="365F91" w:themeColor="accent1" w:themeShade="BF"/>
            </w:tcBorders>
            <w:shd w:val="clear" w:color="auto" w:fill="FFFF00"/>
          </w:tcPr>
          <w:p w:rsidR="00850553" w:rsidRPr="005314E4" w:rsidRDefault="00850553" w:rsidP="000E4C0B">
            <w:pPr>
              <w:spacing w:line="276" w:lineRule="auto"/>
              <w:jc w:val="center"/>
              <w:rPr>
                <w:color w:val="002060"/>
              </w:rPr>
            </w:pPr>
            <w:r w:rsidRPr="005314E4">
              <w:rPr>
                <w:color w:val="002060"/>
              </w:rPr>
              <w:t>Full Integration into the Global Economy</w:t>
            </w:r>
          </w:p>
        </w:tc>
      </w:tr>
      <w:tr w:rsidR="00850553" w:rsidRPr="00956885" w:rsidTr="000E4C0B">
        <w:trPr>
          <w:cnfStyle w:val="000000100000"/>
        </w:trPr>
        <w:tc>
          <w:tcPr>
            <w:cnfStyle w:val="001000000000"/>
            <w:tcW w:w="17928" w:type="dxa"/>
            <w:tcBorders>
              <w:top w:val="single" w:sz="8" w:space="0" w:color="365F91" w:themeColor="accent1" w:themeShade="BF"/>
              <w:bottom w:val="single" w:sz="8" w:space="0" w:color="365F91" w:themeColor="accent1" w:themeShade="BF"/>
            </w:tcBorders>
            <w:shd w:val="clear" w:color="auto" w:fill="D3DFEE"/>
          </w:tcPr>
          <w:p w:rsidR="00850553" w:rsidRPr="00956885" w:rsidRDefault="00850553" w:rsidP="00C00944">
            <w:pPr>
              <w:spacing w:line="276" w:lineRule="auto"/>
              <w:jc w:val="center"/>
            </w:pPr>
            <w:r>
              <w:rPr>
                <w:b w:val="0"/>
              </w:rPr>
              <w:t>External Economic Relations and Participation in Global Supply Networks</w:t>
            </w:r>
          </w:p>
        </w:tc>
      </w:tr>
      <w:tr w:rsidR="00850553" w:rsidRPr="009D2C7B" w:rsidTr="000E4C0B">
        <w:tc>
          <w:tcPr>
            <w:cnfStyle w:val="001000000000"/>
            <w:tcW w:w="17928" w:type="dxa"/>
            <w:tcBorders>
              <w:top w:val="single" w:sz="8" w:space="0" w:color="365F91" w:themeColor="accent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850553" w:rsidRPr="000F4DC1" w:rsidRDefault="00850553" w:rsidP="00C00944">
            <w:pPr>
              <w:spacing w:line="276" w:lineRule="auto"/>
              <w:jc w:val="center"/>
              <w:rPr>
                <w:b w:val="0"/>
                <w:color w:val="404040" w:themeColor="text1" w:themeTint="BF"/>
              </w:rPr>
            </w:pPr>
            <w:r w:rsidRPr="000F4DC1">
              <w:rPr>
                <w:b w:val="0"/>
                <w:color w:val="404040" w:themeColor="text1" w:themeTint="BF"/>
              </w:rPr>
              <w:t>ASEAN-China Free Trade Area</w:t>
            </w:r>
          </w:p>
        </w:tc>
      </w:tr>
      <w:tr w:rsidR="00850553" w:rsidRPr="009D2C7B" w:rsidTr="000E4C0B">
        <w:trPr>
          <w:cnfStyle w:val="000000100000"/>
        </w:trPr>
        <w:tc>
          <w:tcPr>
            <w:cnfStyle w:val="001000000000"/>
            <w:tcW w:w="17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850553" w:rsidRPr="009D2C7B" w:rsidRDefault="00850553" w:rsidP="00C00944">
            <w:pPr>
              <w:spacing w:line="276" w:lineRule="auto"/>
              <w:jc w:val="center"/>
              <w:rPr>
                <w:color w:val="404040" w:themeColor="text1" w:themeTint="BF"/>
              </w:rPr>
            </w:pPr>
            <w:r>
              <w:rPr>
                <w:b w:val="0"/>
                <w:color w:val="404040" w:themeColor="text1" w:themeTint="BF"/>
              </w:rPr>
              <w:t>(ACFTA)</w:t>
            </w:r>
          </w:p>
        </w:tc>
      </w:tr>
      <w:tr w:rsidR="00850553" w:rsidRPr="009D2C7B" w:rsidTr="000E4C0B">
        <w:tc>
          <w:tcPr>
            <w:cnfStyle w:val="001000000000"/>
            <w:tcW w:w="17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850553" w:rsidRPr="009D2C7B" w:rsidRDefault="00850553" w:rsidP="00C00944">
            <w:pPr>
              <w:spacing w:line="276" w:lineRule="auto"/>
              <w:jc w:val="center"/>
              <w:rPr>
                <w:color w:val="404040" w:themeColor="text1" w:themeTint="BF"/>
              </w:rPr>
            </w:pPr>
            <w:r w:rsidRPr="000F4DC1">
              <w:rPr>
                <w:b w:val="0"/>
                <w:color w:val="404040" w:themeColor="text1" w:themeTint="BF"/>
              </w:rPr>
              <w:t>ASEAN-Korea Free Trade Agreement</w:t>
            </w:r>
          </w:p>
        </w:tc>
      </w:tr>
      <w:tr w:rsidR="00850553" w:rsidRPr="009D2C7B" w:rsidTr="000E4C0B">
        <w:trPr>
          <w:cnfStyle w:val="000000100000"/>
        </w:trPr>
        <w:tc>
          <w:tcPr>
            <w:cnfStyle w:val="001000000000"/>
            <w:tcW w:w="17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850553" w:rsidRPr="009D2C7B" w:rsidRDefault="00850553" w:rsidP="00C00944">
            <w:pPr>
              <w:spacing w:line="276" w:lineRule="auto"/>
              <w:jc w:val="center"/>
              <w:rPr>
                <w:color w:val="404040" w:themeColor="text1" w:themeTint="BF"/>
              </w:rPr>
            </w:pPr>
            <w:r>
              <w:rPr>
                <w:b w:val="0"/>
                <w:color w:val="404040" w:themeColor="text1" w:themeTint="BF"/>
              </w:rPr>
              <w:t>(AKFTA)</w:t>
            </w:r>
          </w:p>
        </w:tc>
      </w:tr>
      <w:tr w:rsidR="00850553" w:rsidRPr="009D2C7B" w:rsidTr="000E4C0B">
        <w:tc>
          <w:tcPr>
            <w:cnfStyle w:val="001000000000"/>
            <w:tcW w:w="17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850553" w:rsidRPr="009D2C7B" w:rsidRDefault="00850553" w:rsidP="00C00944">
            <w:pPr>
              <w:spacing w:line="276" w:lineRule="auto"/>
              <w:jc w:val="center"/>
              <w:rPr>
                <w:color w:val="404040" w:themeColor="text1" w:themeTint="BF"/>
              </w:rPr>
            </w:pPr>
            <w:r w:rsidRPr="000F4DC1">
              <w:rPr>
                <w:b w:val="0"/>
                <w:color w:val="404040" w:themeColor="text1" w:themeTint="BF"/>
              </w:rPr>
              <w:t>ASEAN-Japan Comprehensive Economic Partnership Agreement</w:t>
            </w:r>
          </w:p>
        </w:tc>
      </w:tr>
      <w:tr w:rsidR="00850553" w:rsidRPr="009D2C7B" w:rsidTr="000E4C0B">
        <w:trPr>
          <w:cnfStyle w:val="000000100000"/>
        </w:trPr>
        <w:tc>
          <w:tcPr>
            <w:cnfStyle w:val="001000000000"/>
            <w:tcW w:w="17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850553" w:rsidRPr="009D2C7B" w:rsidRDefault="00850553" w:rsidP="00C00944">
            <w:pPr>
              <w:spacing w:line="276" w:lineRule="auto"/>
              <w:jc w:val="center"/>
              <w:rPr>
                <w:color w:val="404040" w:themeColor="text1" w:themeTint="BF"/>
              </w:rPr>
            </w:pPr>
            <w:r>
              <w:rPr>
                <w:b w:val="0"/>
                <w:color w:val="404040" w:themeColor="text1" w:themeTint="BF"/>
              </w:rPr>
              <w:t>(AJCEP)</w:t>
            </w:r>
          </w:p>
        </w:tc>
      </w:tr>
      <w:tr w:rsidR="00850553" w:rsidRPr="009D2C7B" w:rsidTr="000E4C0B">
        <w:tc>
          <w:tcPr>
            <w:cnfStyle w:val="001000000000"/>
            <w:tcW w:w="17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850553" w:rsidRPr="009D2C7B" w:rsidRDefault="00850553" w:rsidP="00C00944">
            <w:pPr>
              <w:spacing w:line="276" w:lineRule="auto"/>
              <w:jc w:val="center"/>
              <w:rPr>
                <w:color w:val="404040" w:themeColor="text1" w:themeTint="BF"/>
              </w:rPr>
            </w:pPr>
            <w:r w:rsidRPr="000F4DC1">
              <w:rPr>
                <w:b w:val="0"/>
                <w:color w:val="404040" w:themeColor="text1" w:themeTint="BF"/>
              </w:rPr>
              <w:t>ASEAN-Australia-New Zealand Free Trade Area</w:t>
            </w:r>
          </w:p>
        </w:tc>
      </w:tr>
      <w:tr w:rsidR="00850553" w:rsidRPr="009D2C7B" w:rsidTr="000E4C0B">
        <w:trPr>
          <w:cnfStyle w:val="000000100000"/>
        </w:trPr>
        <w:tc>
          <w:tcPr>
            <w:cnfStyle w:val="001000000000"/>
            <w:tcW w:w="17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850553" w:rsidRPr="009D2C7B" w:rsidRDefault="00850553" w:rsidP="00C00944">
            <w:pPr>
              <w:spacing w:line="276" w:lineRule="auto"/>
              <w:jc w:val="center"/>
              <w:rPr>
                <w:color w:val="404040" w:themeColor="text1" w:themeTint="BF"/>
              </w:rPr>
            </w:pPr>
            <w:r>
              <w:rPr>
                <w:b w:val="0"/>
                <w:color w:val="404040" w:themeColor="text1" w:themeTint="BF"/>
              </w:rPr>
              <w:t>(AANZFTA)</w:t>
            </w:r>
          </w:p>
        </w:tc>
      </w:tr>
      <w:tr w:rsidR="00850553" w:rsidRPr="009D2C7B" w:rsidTr="000E4C0B">
        <w:tc>
          <w:tcPr>
            <w:cnfStyle w:val="001000000000"/>
            <w:tcW w:w="17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850553" w:rsidRPr="009D2C7B" w:rsidRDefault="00850553" w:rsidP="00C00944">
            <w:pPr>
              <w:spacing w:line="276" w:lineRule="auto"/>
              <w:jc w:val="center"/>
              <w:rPr>
                <w:color w:val="404040" w:themeColor="text1" w:themeTint="BF"/>
              </w:rPr>
            </w:pPr>
            <w:r w:rsidRPr="000F4DC1">
              <w:rPr>
                <w:b w:val="0"/>
                <w:color w:val="404040" w:themeColor="text1" w:themeTint="BF"/>
              </w:rPr>
              <w:t>ASEAN-India Free Trade Area</w:t>
            </w:r>
          </w:p>
        </w:tc>
      </w:tr>
      <w:tr w:rsidR="00850553" w:rsidRPr="009D2C7B" w:rsidTr="000E4C0B">
        <w:trPr>
          <w:cnfStyle w:val="000000100000"/>
        </w:trPr>
        <w:tc>
          <w:tcPr>
            <w:cnfStyle w:val="001000000000"/>
            <w:tcW w:w="17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850553" w:rsidRPr="009D2C7B" w:rsidRDefault="00850553" w:rsidP="00C00944">
            <w:pPr>
              <w:spacing w:line="276" w:lineRule="auto"/>
              <w:jc w:val="center"/>
              <w:rPr>
                <w:color w:val="404040" w:themeColor="text1" w:themeTint="BF"/>
              </w:rPr>
            </w:pPr>
            <w:r>
              <w:rPr>
                <w:b w:val="0"/>
                <w:color w:val="404040" w:themeColor="text1" w:themeTint="BF"/>
              </w:rPr>
              <w:t>(AIFTA)</w:t>
            </w:r>
          </w:p>
        </w:tc>
      </w:tr>
      <w:tr w:rsidR="00850553" w:rsidRPr="009D2C7B" w:rsidTr="000E4C0B">
        <w:tc>
          <w:tcPr>
            <w:cnfStyle w:val="001000000000"/>
            <w:tcW w:w="17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850553" w:rsidRPr="009D2C7B" w:rsidRDefault="00850553" w:rsidP="00C00944">
            <w:pPr>
              <w:spacing w:line="276" w:lineRule="auto"/>
              <w:jc w:val="center"/>
              <w:rPr>
                <w:color w:val="404040" w:themeColor="text1" w:themeTint="BF"/>
              </w:rPr>
            </w:pPr>
            <w:r>
              <w:rPr>
                <w:b w:val="0"/>
                <w:color w:val="404040" w:themeColor="text1" w:themeTint="BF"/>
              </w:rPr>
              <w:t>Regional Comprehensive Economic Partnership</w:t>
            </w:r>
          </w:p>
        </w:tc>
      </w:tr>
      <w:tr w:rsidR="00850553" w:rsidRPr="009D2C7B" w:rsidTr="000E4C0B">
        <w:trPr>
          <w:cnfStyle w:val="000000100000"/>
        </w:trPr>
        <w:tc>
          <w:tcPr>
            <w:cnfStyle w:val="001000000000"/>
            <w:tcW w:w="17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850553" w:rsidRPr="009D2C7B" w:rsidRDefault="00850553" w:rsidP="00C00944">
            <w:pPr>
              <w:spacing w:line="276" w:lineRule="auto"/>
              <w:jc w:val="center"/>
              <w:rPr>
                <w:color w:val="404040" w:themeColor="text1" w:themeTint="BF"/>
              </w:rPr>
            </w:pPr>
            <w:r>
              <w:rPr>
                <w:b w:val="0"/>
                <w:color w:val="404040" w:themeColor="text1" w:themeTint="BF"/>
              </w:rPr>
              <w:t>(RCEP)</w:t>
            </w:r>
          </w:p>
        </w:tc>
      </w:tr>
    </w:tbl>
    <w:p w:rsidR="00850553" w:rsidRDefault="00850553"/>
    <w:sectPr w:rsidR="00850553" w:rsidSect="002B603B">
      <w:footerReference w:type="default" r:id="rId7"/>
      <w:pgSz w:w="18720" w:h="12240" w:orient="landscape" w:code="1"/>
      <w:pgMar w:top="1440" w:right="432" w:bottom="1440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DD4" w:rsidRDefault="003B2DD4" w:rsidP="00B25210">
      <w:r>
        <w:separator/>
      </w:r>
    </w:p>
  </w:endnote>
  <w:endnote w:type="continuationSeparator" w:id="0">
    <w:p w:rsidR="003B2DD4" w:rsidRDefault="003B2DD4" w:rsidP="00B25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03B" w:rsidRDefault="002B603B" w:rsidP="002B603B">
    <w:pPr>
      <w:spacing w:line="276" w:lineRule="auto"/>
      <w:rPr>
        <w:sz w:val="18"/>
      </w:rPr>
    </w:pPr>
    <w:r>
      <w:rPr>
        <w:sz w:val="18"/>
      </w:rPr>
      <w:t>Precursor agreements (or those that were replaced or super ceded) are not included in the list.</w:t>
    </w:r>
  </w:p>
  <w:p w:rsidR="00F07637" w:rsidRPr="002B603B" w:rsidRDefault="002B603B">
    <w:pPr>
      <w:pStyle w:val="Footer"/>
      <w:rPr>
        <w:color w:val="404040" w:themeColor="text1" w:themeTint="BF"/>
        <w:sz w:val="18"/>
      </w:rPr>
    </w:pPr>
    <w:r>
      <w:rPr>
        <w:color w:val="404040" w:themeColor="text1" w:themeTint="BF"/>
        <w:sz w:val="18"/>
        <w:szCs w:val="28"/>
      </w:rPr>
      <w:t>I</w:t>
    </w:r>
    <w:r w:rsidR="00F07637" w:rsidRPr="002B603B">
      <w:rPr>
        <w:color w:val="404040" w:themeColor="text1" w:themeTint="BF"/>
        <w:sz w:val="18"/>
        <w:szCs w:val="28"/>
      </w:rPr>
      <w:t>n asterisk are initiatives or programs pursued at the regional level.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DD4" w:rsidRDefault="003B2DD4" w:rsidP="00B25210">
      <w:r>
        <w:separator/>
      </w:r>
    </w:p>
  </w:footnote>
  <w:footnote w:type="continuationSeparator" w:id="0">
    <w:p w:rsidR="003B2DD4" w:rsidRDefault="003B2DD4" w:rsidP="00B252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675C"/>
    <w:multiLevelType w:val="hybridMultilevel"/>
    <w:tmpl w:val="1C7C1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284A14"/>
    <w:multiLevelType w:val="hybridMultilevel"/>
    <w:tmpl w:val="2E54B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21622A"/>
    <w:multiLevelType w:val="hybridMultilevel"/>
    <w:tmpl w:val="7BD2C7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396D92"/>
    <w:multiLevelType w:val="hybridMultilevel"/>
    <w:tmpl w:val="6F20A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921AD"/>
    <w:multiLevelType w:val="hybridMultilevel"/>
    <w:tmpl w:val="65469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80B"/>
    <w:rsid w:val="0001542B"/>
    <w:rsid w:val="00033BA9"/>
    <w:rsid w:val="00045126"/>
    <w:rsid w:val="00067A0F"/>
    <w:rsid w:val="000725CF"/>
    <w:rsid w:val="000E0E67"/>
    <w:rsid w:val="000E7129"/>
    <w:rsid w:val="000F13A3"/>
    <w:rsid w:val="000F4DC1"/>
    <w:rsid w:val="00107B8C"/>
    <w:rsid w:val="001665F1"/>
    <w:rsid w:val="001670B7"/>
    <w:rsid w:val="001A71CA"/>
    <w:rsid w:val="001B66D7"/>
    <w:rsid w:val="001D387E"/>
    <w:rsid w:val="00206B0F"/>
    <w:rsid w:val="0024080B"/>
    <w:rsid w:val="00271825"/>
    <w:rsid w:val="002B603B"/>
    <w:rsid w:val="002E4A93"/>
    <w:rsid w:val="002F56BB"/>
    <w:rsid w:val="00321793"/>
    <w:rsid w:val="00383A18"/>
    <w:rsid w:val="003B2CC4"/>
    <w:rsid w:val="003B2DD4"/>
    <w:rsid w:val="003B74C3"/>
    <w:rsid w:val="003C664A"/>
    <w:rsid w:val="00405952"/>
    <w:rsid w:val="00407ACA"/>
    <w:rsid w:val="00431399"/>
    <w:rsid w:val="00457081"/>
    <w:rsid w:val="004A263E"/>
    <w:rsid w:val="004A7060"/>
    <w:rsid w:val="004B4841"/>
    <w:rsid w:val="004E6BAD"/>
    <w:rsid w:val="005027BD"/>
    <w:rsid w:val="0052485B"/>
    <w:rsid w:val="005314E4"/>
    <w:rsid w:val="005709CF"/>
    <w:rsid w:val="005C3B76"/>
    <w:rsid w:val="005C5E22"/>
    <w:rsid w:val="005F3E36"/>
    <w:rsid w:val="00614D95"/>
    <w:rsid w:val="0061705F"/>
    <w:rsid w:val="006222F6"/>
    <w:rsid w:val="0063339C"/>
    <w:rsid w:val="006427EB"/>
    <w:rsid w:val="00644AFB"/>
    <w:rsid w:val="00665977"/>
    <w:rsid w:val="007A6432"/>
    <w:rsid w:val="007B2BCA"/>
    <w:rsid w:val="007C5FB1"/>
    <w:rsid w:val="007D1A00"/>
    <w:rsid w:val="007F25D8"/>
    <w:rsid w:val="00841529"/>
    <w:rsid w:val="00850553"/>
    <w:rsid w:val="00865CBE"/>
    <w:rsid w:val="008802D5"/>
    <w:rsid w:val="00884568"/>
    <w:rsid w:val="00885688"/>
    <w:rsid w:val="008A23DF"/>
    <w:rsid w:val="008C00D6"/>
    <w:rsid w:val="008D7EBC"/>
    <w:rsid w:val="008F7976"/>
    <w:rsid w:val="0090149F"/>
    <w:rsid w:val="009303DD"/>
    <w:rsid w:val="00941C67"/>
    <w:rsid w:val="00966B30"/>
    <w:rsid w:val="00973D82"/>
    <w:rsid w:val="00977B80"/>
    <w:rsid w:val="00985FF3"/>
    <w:rsid w:val="0099443F"/>
    <w:rsid w:val="00A36755"/>
    <w:rsid w:val="00A37B63"/>
    <w:rsid w:val="00A5381D"/>
    <w:rsid w:val="00A57010"/>
    <w:rsid w:val="00A63691"/>
    <w:rsid w:val="00A65FD9"/>
    <w:rsid w:val="00AA40F3"/>
    <w:rsid w:val="00AA4FF7"/>
    <w:rsid w:val="00B25210"/>
    <w:rsid w:val="00B4099A"/>
    <w:rsid w:val="00B634D7"/>
    <w:rsid w:val="00BA12D5"/>
    <w:rsid w:val="00BC2708"/>
    <w:rsid w:val="00BE2350"/>
    <w:rsid w:val="00C00944"/>
    <w:rsid w:val="00C25D15"/>
    <w:rsid w:val="00C41FF6"/>
    <w:rsid w:val="00C54E0E"/>
    <w:rsid w:val="00C946C4"/>
    <w:rsid w:val="00CB2BC1"/>
    <w:rsid w:val="00CC6025"/>
    <w:rsid w:val="00CD6827"/>
    <w:rsid w:val="00D26222"/>
    <w:rsid w:val="00D264E3"/>
    <w:rsid w:val="00D37AFF"/>
    <w:rsid w:val="00D52ED2"/>
    <w:rsid w:val="00DB418D"/>
    <w:rsid w:val="00DE160C"/>
    <w:rsid w:val="00DF5F23"/>
    <w:rsid w:val="00E12107"/>
    <w:rsid w:val="00E15540"/>
    <w:rsid w:val="00E47DAE"/>
    <w:rsid w:val="00E52AB7"/>
    <w:rsid w:val="00E56A5F"/>
    <w:rsid w:val="00E96F36"/>
    <w:rsid w:val="00EB145A"/>
    <w:rsid w:val="00F027D5"/>
    <w:rsid w:val="00F038F1"/>
    <w:rsid w:val="00F07637"/>
    <w:rsid w:val="00F61245"/>
    <w:rsid w:val="00F63D83"/>
    <w:rsid w:val="00FC40FA"/>
    <w:rsid w:val="00FC4FCF"/>
    <w:rsid w:val="00FD181D"/>
    <w:rsid w:val="00FD5670"/>
    <w:rsid w:val="00FE7A98"/>
    <w:rsid w:val="00FF18C3"/>
    <w:rsid w:val="00FF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80B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24080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B252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5210"/>
  </w:style>
  <w:style w:type="paragraph" w:styleId="Footer">
    <w:name w:val="footer"/>
    <w:basedOn w:val="Normal"/>
    <w:link w:val="FooterChar"/>
    <w:uiPriority w:val="99"/>
    <w:semiHidden/>
    <w:unhideWhenUsed/>
    <w:rsid w:val="00B252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5210"/>
  </w:style>
  <w:style w:type="paragraph" w:styleId="BalloonText">
    <w:name w:val="Balloon Text"/>
    <w:basedOn w:val="Normal"/>
    <w:link w:val="BalloonTextChar"/>
    <w:uiPriority w:val="99"/>
    <w:semiHidden/>
    <w:unhideWhenUsed/>
    <w:rsid w:val="00206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B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C66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6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6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6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6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</dc:creator>
  <cp:lastModifiedBy>nini</cp:lastModifiedBy>
  <cp:revision>39</cp:revision>
  <dcterms:created xsi:type="dcterms:W3CDTF">2013-04-15T19:00:00Z</dcterms:created>
  <dcterms:modified xsi:type="dcterms:W3CDTF">2013-04-15T19:41:00Z</dcterms:modified>
</cp:coreProperties>
</file>